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1"/>
        </w:rPr>
      </w:pPr>
    </w:p>
    <w:p>
      <w:pPr>
        <w:spacing w:line="360" w:lineRule="auto" w:before="90"/>
        <w:ind w:left="218" w:right="0" w:firstLine="0"/>
        <w:jc w:val="left"/>
        <w:rPr>
          <w:b/>
          <w:sz w:val="24"/>
        </w:rPr>
      </w:pPr>
      <w:r>
        <w:rPr>
          <w:b/>
          <w:sz w:val="24"/>
          <w:u w:val="thick"/>
        </w:rPr>
        <w:t>PROYECTO DE MODIFICACIÓN DE ORDENANZA REGULADORA DE LA</w:t>
      </w:r>
      <w:r>
        <w:rPr>
          <w:b/>
          <w:sz w:val="24"/>
        </w:rPr>
        <w:t> </w:t>
      </w:r>
      <w:r>
        <w:rPr>
          <w:b/>
          <w:sz w:val="24"/>
          <w:u w:val="thick"/>
        </w:rPr>
        <w:t>UTILIZACIÓN Y OCUPACIÓN DEL DOMINIO PUBLICO MUNICIPAL</w:t>
      </w:r>
    </w:p>
    <w:p>
      <w:pPr>
        <w:pStyle w:val="BodyText"/>
        <w:spacing w:before="2"/>
        <w:rPr>
          <w:b/>
          <w:sz w:val="16"/>
        </w:rPr>
      </w:pPr>
    </w:p>
    <w:p>
      <w:pPr>
        <w:spacing w:before="90"/>
        <w:ind w:left="218" w:right="0" w:firstLine="0"/>
        <w:jc w:val="left"/>
        <w:rPr>
          <w:b/>
          <w:i/>
          <w:sz w:val="24"/>
        </w:rPr>
      </w:pPr>
      <w:r>
        <w:rPr>
          <w:b/>
          <w:i/>
          <w:sz w:val="24"/>
        </w:rPr>
        <w:t>PREÁMBULO</w:t>
      </w:r>
    </w:p>
    <w:p>
      <w:pPr>
        <w:pStyle w:val="BodyText"/>
        <w:rPr>
          <w:b/>
          <w:i/>
        </w:rPr>
      </w:pPr>
    </w:p>
    <w:p>
      <w:pPr>
        <w:pStyle w:val="BodyText"/>
        <w:ind w:left="218" w:right="114"/>
        <w:jc w:val="both"/>
      </w:pPr>
      <w:r>
        <w:rPr>
          <w:b/>
          <w:i/>
        </w:rPr>
        <w:t>Principio de necesidad y eficacia</w:t>
      </w:r>
      <w:r>
        <w:rPr/>
        <w:t>: Se justifica la presente iniciativa de modificación normativa por razones de interés municipal siendo el fin perseguido la regulación de los distintos usos que se puedan dar sobre el dominio público local, al haber un incremento en la demanda entre otros, de la instalación de terrazas en el exterior de establecimientos, siendo necesario regular determinados elementos mobiliarios que redunden en la mejora de la calidad del espacio público y paisaje urbano. Se incorpora asimismo los espacios para la recarga de vehículos eléctricos entre otros supuestos. Además, se trata a través de esta Ordenanza del único instrumento para su</w:t>
      </w:r>
      <w:r>
        <w:rPr>
          <w:spacing w:val="-2"/>
        </w:rPr>
        <w:t> </w:t>
      </w:r>
      <w:r>
        <w:rPr/>
        <w:t>consecución.</w:t>
      </w:r>
    </w:p>
    <w:p>
      <w:pPr>
        <w:pStyle w:val="BodyText"/>
        <w:spacing w:before="1"/>
      </w:pPr>
    </w:p>
    <w:p>
      <w:pPr>
        <w:pStyle w:val="BodyText"/>
        <w:ind w:left="218" w:right="111"/>
        <w:jc w:val="both"/>
      </w:pPr>
      <w:r>
        <w:rPr>
          <w:b/>
          <w:i/>
        </w:rPr>
        <w:t>Principio de proporcionalidad: </w:t>
      </w:r>
      <w:r>
        <w:rPr/>
        <w:t>La regulación contenida en la presente modificación es la imprescindible para atender la necesidad a cubrir con la norma, tratando de mejorar supuestos e incorporando otros que directa o indirectamente afectan al dominio público local, evitando una dispersión normativa.</w:t>
      </w:r>
    </w:p>
    <w:p>
      <w:pPr>
        <w:pStyle w:val="BodyText"/>
      </w:pPr>
    </w:p>
    <w:p>
      <w:pPr>
        <w:pStyle w:val="BodyText"/>
        <w:ind w:left="218" w:right="117"/>
        <w:jc w:val="both"/>
      </w:pPr>
      <w:r>
        <w:rPr>
          <w:b/>
          <w:i/>
        </w:rPr>
        <w:t>Principio de seguridad jurídica</w:t>
      </w:r>
      <w:r>
        <w:rPr>
          <w:b/>
        </w:rPr>
        <w:t>: </w:t>
      </w:r>
      <w:r>
        <w:rPr/>
        <w:t>Esta modificación de la ordenanza es coherente con el ordenamiento jurídico toda vez que se dicta en desarrollo de la normativa aplicable para generar un marco normativo estable, predecible, integrado, claro y de certidumbre, que facilite su conocimiento y comprensión y, en consecuencia, la actuación y toma de</w:t>
      </w:r>
      <w:r>
        <w:rPr>
          <w:spacing w:val="-14"/>
        </w:rPr>
        <w:t> </w:t>
      </w:r>
      <w:r>
        <w:rPr/>
        <w:t>decisiones.</w:t>
      </w:r>
    </w:p>
    <w:p>
      <w:pPr>
        <w:pStyle w:val="BodyText"/>
      </w:pPr>
    </w:p>
    <w:p>
      <w:pPr>
        <w:pStyle w:val="BodyText"/>
        <w:spacing w:before="1"/>
        <w:ind w:left="218" w:right="115"/>
        <w:jc w:val="both"/>
      </w:pPr>
      <w:r>
        <w:rPr>
          <w:b/>
          <w:i/>
        </w:rPr>
        <w:t>Principio de transparencia: </w:t>
      </w:r>
      <w:r>
        <w:rPr/>
        <w:t>En la elaboración de esta modificación se atiende a la normativa relativa a la transparencia siendo el objetivo de esta normativa, la necesidad y oportunidad de asegurar su ejercicio de acuerdo con los principios de buena regulación, garantizar de modo adecuado la audiencia y participación de los ciudadanos y armonizando, unificando y actualizando la normativa existente relativa al uso del dominio público local.</w:t>
      </w:r>
    </w:p>
    <w:p>
      <w:pPr>
        <w:pStyle w:val="BodyText"/>
        <w:spacing w:before="11"/>
        <w:rPr>
          <w:sz w:val="23"/>
        </w:rPr>
      </w:pPr>
    </w:p>
    <w:p>
      <w:pPr>
        <w:pStyle w:val="BodyText"/>
        <w:ind w:left="218" w:right="116"/>
        <w:jc w:val="both"/>
      </w:pPr>
      <w:r>
        <w:rPr>
          <w:b/>
          <w:i/>
        </w:rPr>
        <w:t>Principio de eficiencia: </w:t>
      </w:r>
      <w:r>
        <w:rPr/>
        <w:t>De conformidad con este principio no se aprecian cargas administrativas innecesarias o accesorias racionalizándose, en su aplicación, tratando de mejorar en la eficacia de la gestión de los recursos públicos.</w:t>
      </w:r>
    </w:p>
    <w:p>
      <w:pPr>
        <w:pStyle w:val="BodyText"/>
      </w:pPr>
    </w:p>
    <w:p>
      <w:pPr>
        <w:pStyle w:val="BodyText"/>
        <w:ind w:left="218" w:right="116"/>
        <w:jc w:val="both"/>
      </w:pPr>
      <w:r>
        <w:rPr/>
        <w:t>Por último, no se aprecia que esta iniciativa de modificación normativa afecta a gastos e ingresos públicos, presentes o futuros.</w:t>
      </w:r>
    </w:p>
    <w:p>
      <w:pPr>
        <w:spacing w:after="0"/>
        <w:jc w:val="both"/>
        <w:sectPr>
          <w:headerReference w:type="default" r:id="rId5"/>
          <w:type w:val="continuous"/>
          <w:pgSz w:w="11910" w:h="16840"/>
          <w:pgMar w:header="905" w:top="2540" w:bottom="280" w:left="1200" w:right="1300"/>
        </w:sectPr>
      </w:pPr>
    </w:p>
    <w:p>
      <w:pPr>
        <w:pStyle w:val="Heading1"/>
        <w:spacing w:before="146"/>
        <w:jc w:val="both"/>
      </w:pPr>
      <w:r>
        <w:rPr/>
        <w:t>CAPITULO II.- ASPECTOS PROCEDIMENTALES</w:t>
      </w:r>
    </w:p>
    <w:p>
      <w:pPr>
        <w:spacing w:before="139"/>
        <w:ind w:left="218" w:right="0" w:firstLine="0"/>
        <w:jc w:val="both"/>
        <w:rPr>
          <w:b/>
          <w:sz w:val="24"/>
        </w:rPr>
      </w:pPr>
      <w:r>
        <w:rPr>
          <w:b/>
          <w:sz w:val="24"/>
        </w:rPr>
        <w:t>8.- Autorizaciones.</w:t>
      </w:r>
    </w:p>
    <w:p>
      <w:pPr>
        <w:pStyle w:val="BodyText"/>
        <w:spacing w:before="137"/>
        <w:ind w:left="218" w:right="120"/>
        <w:jc w:val="both"/>
      </w:pPr>
      <w:r>
        <w:rPr/>
        <w:t>Las autorizaciones se otorgarán directamente a los peticionarios que reúnan las condiciones requeridas, salvo si, por cualquier circunstancia, se encontrase limitado su número, en cuyo caso lo serán en régimen de concurrencia y si ello no fuere procedente, por no tener que valorarse condiciones especiales en los solicitantes, mediante sorteo, si otra cosa no se hubiese establecido en las condiciones por las que se</w:t>
      </w:r>
      <w:r>
        <w:rPr>
          <w:spacing w:val="-3"/>
        </w:rPr>
        <w:t> </w:t>
      </w:r>
      <w:r>
        <w:rPr/>
        <w:t>rigen.</w:t>
      </w:r>
    </w:p>
    <w:p>
      <w:pPr>
        <w:pStyle w:val="BodyText"/>
      </w:pPr>
    </w:p>
    <w:p>
      <w:pPr>
        <w:pStyle w:val="BodyText"/>
        <w:ind w:left="218" w:right="116"/>
        <w:jc w:val="both"/>
      </w:pPr>
      <w:r>
        <w:rPr/>
        <w:t>En relación a la utilización y ocupación del dominio público, para decidir sobre el otorgamiento de la autorización, se atenderá al mayor interés y utilidad pública de la utilización o aprovechamiento solicitado.</w:t>
      </w:r>
    </w:p>
    <w:p>
      <w:pPr>
        <w:pStyle w:val="BodyText"/>
        <w:spacing w:before="1"/>
      </w:pPr>
    </w:p>
    <w:p>
      <w:pPr>
        <w:pStyle w:val="BodyText"/>
        <w:ind w:left="218" w:right="119"/>
        <w:jc w:val="both"/>
      </w:pPr>
      <w:r>
        <w:rPr/>
        <w:t>Las autorizaciones habrán de otorgarse por tiempo determinado. Su plazo máximo de duración, incluidas las prórrogas, será de cuatro años.</w:t>
      </w:r>
    </w:p>
    <w:p>
      <w:pPr>
        <w:pStyle w:val="BodyText"/>
        <w:ind w:left="218" w:right="120"/>
        <w:jc w:val="both"/>
      </w:pPr>
      <w:r>
        <w:rPr/>
        <w:t>El Ayuntamiento podrá establecer la renovación anual automática de las autorizaciones, hasta su plazo máximo, mediante el pago de la exacción fiscal correspondiente, siempre que no varíen los requisitos y circunstancias tenidas en cuenta para la autorización del periodo anterior y que tal previsión constase expresamente en esta.</w:t>
      </w:r>
    </w:p>
    <w:p>
      <w:pPr>
        <w:pStyle w:val="BodyText"/>
      </w:pPr>
    </w:p>
    <w:p>
      <w:pPr>
        <w:pStyle w:val="BodyText"/>
        <w:ind w:left="218" w:right="123"/>
        <w:jc w:val="both"/>
      </w:pPr>
      <w:r>
        <w:rPr/>
        <w:t>No serán transmisibles las autorizaciones para cuyo otorgamiento deban tenerse en cuenta circunstancias personales del autorizado o cuyo número se encuentre limitado, salvo que las condiciones por las que se rigen admitan su transmisión.</w:t>
      </w:r>
    </w:p>
    <w:p>
      <w:pPr>
        <w:pStyle w:val="BodyText"/>
        <w:ind w:left="218" w:right="120"/>
        <w:jc w:val="both"/>
      </w:pPr>
      <w:r>
        <w:rPr/>
        <w:t>Las autorizaciones de ocupación reguladas en la presente ordenanza se conceden en precario y podrán ser revocadas unilateralmente por la Administración concedente en cualquier momento por razones de interés público, sin generar derecho a indemnización, cuando resulten incompatibles con las condiciones generales aprobadas con posterioridad, produzcan daños en el dominio público, impidan su utilización para actividades de mayor interés público o menoscaben el uso</w:t>
      </w:r>
      <w:r>
        <w:rPr>
          <w:spacing w:val="1"/>
        </w:rPr>
        <w:t> </w:t>
      </w:r>
      <w:r>
        <w:rPr/>
        <w:t>general.</w:t>
      </w:r>
    </w:p>
    <w:p>
      <w:pPr>
        <w:pStyle w:val="BodyText"/>
        <w:spacing w:before="1"/>
      </w:pPr>
    </w:p>
    <w:p>
      <w:pPr>
        <w:pStyle w:val="Heading1"/>
        <w:jc w:val="both"/>
      </w:pPr>
      <w:r>
        <w:rPr/>
        <w:t>10.-Extinción de autorizaciones y concesiones.</w:t>
      </w:r>
    </w:p>
    <w:p>
      <w:pPr>
        <w:pStyle w:val="BodyText"/>
        <w:spacing w:before="139"/>
        <w:ind w:left="218" w:right="125"/>
        <w:jc w:val="both"/>
      </w:pPr>
      <w:r>
        <w:rPr/>
        <w:t>Las autorizaciones y concesiones reguladas en la presente ordenanza se extinguen por las siguientes causas:</w:t>
      </w:r>
    </w:p>
    <w:p>
      <w:pPr>
        <w:pStyle w:val="BodyText"/>
      </w:pPr>
    </w:p>
    <w:p>
      <w:pPr>
        <w:pStyle w:val="ListParagraph"/>
        <w:numPr>
          <w:ilvl w:val="0"/>
          <w:numId w:val="1"/>
        </w:numPr>
        <w:tabs>
          <w:tab w:pos="469" w:val="left" w:leader="none"/>
        </w:tabs>
        <w:spacing w:line="240" w:lineRule="auto" w:before="0" w:after="0"/>
        <w:ind w:left="218" w:right="121" w:firstLine="0"/>
        <w:jc w:val="left"/>
        <w:rPr>
          <w:sz w:val="24"/>
        </w:rPr>
      </w:pPr>
      <w:r>
        <w:rPr>
          <w:sz w:val="24"/>
        </w:rPr>
        <w:t>Fallecimiento o incapacidad sobrevenida de la persona física o extinción de la personalidad jurídica de las personas o entidades autorizadas o concesionarias.</w:t>
      </w:r>
    </w:p>
    <w:p>
      <w:pPr>
        <w:pStyle w:val="ListParagraph"/>
        <w:numPr>
          <w:ilvl w:val="0"/>
          <w:numId w:val="1"/>
        </w:numPr>
        <w:tabs>
          <w:tab w:pos="479" w:val="left" w:leader="none"/>
        </w:tabs>
        <w:spacing w:line="240" w:lineRule="auto" w:before="0" w:after="0"/>
        <w:ind w:left="478" w:right="0" w:hanging="261"/>
        <w:jc w:val="left"/>
        <w:rPr>
          <w:sz w:val="24"/>
        </w:rPr>
      </w:pPr>
      <w:r>
        <w:rPr>
          <w:sz w:val="24"/>
        </w:rPr>
        <w:t>Transmisiones en que se incumpla lo dispuesto en la normativa</w:t>
      </w:r>
      <w:r>
        <w:rPr>
          <w:spacing w:val="-5"/>
          <w:sz w:val="24"/>
        </w:rPr>
        <w:t> </w:t>
      </w:r>
      <w:r>
        <w:rPr>
          <w:sz w:val="24"/>
        </w:rPr>
        <w:t>reguladora.</w:t>
      </w:r>
    </w:p>
    <w:p>
      <w:pPr>
        <w:pStyle w:val="ListParagraph"/>
        <w:numPr>
          <w:ilvl w:val="0"/>
          <w:numId w:val="1"/>
        </w:numPr>
        <w:tabs>
          <w:tab w:pos="465" w:val="left" w:leader="none"/>
        </w:tabs>
        <w:spacing w:line="240" w:lineRule="auto" w:before="1" w:after="0"/>
        <w:ind w:left="464" w:right="0" w:hanging="247"/>
        <w:jc w:val="left"/>
        <w:rPr>
          <w:sz w:val="24"/>
        </w:rPr>
      </w:pPr>
      <w:r>
        <w:rPr>
          <w:sz w:val="24"/>
        </w:rPr>
        <w:t>Vencimiento del</w:t>
      </w:r>
      <w:r>
        <w:rPr>
          <w:spacing w:val="-1"/>
          <w:sz w:val="24"/>
        </w:rPr>
        <w:t> </w:t>
      </w:r>
      <w:r>
        <w:rPr>
          <w:sz w:val="24"/>
        </w:rPr>
        <w:t>plazo.</w:t>
      </w:r>
    </w:p>
    <w:p>
      <w:pPr>
        <w:pStyle w:val="ListParagraph"/>
        <w:numPr>
          <w:ilvl w:val="0"/>
          <w:numId w:val="1"/>
        </w:numPr>
        <w:tabs>
          <w:tab w:pos="479" w:val="left" w:leader="none"/>
        </w:tabs>
        <w:spacing w:line="240" w:lineRule="auto" w:before="0" w:after="0"/>
        <w:ind w:left="478" w:right="0" w:hanging="261"/>
        <w:jc w:val="left"/>
        <w:rPr>
          <w:sz w:val="24"/>
        </w:rPr>
      </w:pPr>
      <w:r>
        <w:rPr>
          <w:sz w:val="24"/>
        </w:rPr>
        <w:t>Rescate de la concesión o revocación de la</w:t>
      </w:r>
      <w:r>
        <w:rPr>
          <w:spacing w:val="-2"/>
          <w:sz w:val="24"/>
        </w:rPr>
        <w:t> </w:t>
      </w:r>
      <w:r>
        <w:rPr>
          <w:sz w:val="24"/>
        </w:rPr>
        <w:t>autorización.</w:t>
      </w:r>
    </w:p>
    <w:p>
      <w:pPr>
        <w:pStyle w:val="ListParagraph"/>
        <w:numPr>
          <w:ilvl w:val="0"/>
          <w:numId w:val="1"/>
        </w:numPr>
        <w:tabs>
          <w:tab w:pos="465" w:val="left" w:leader="none"/>
        </w:tabs>
        <w:spacing w:line="240" w:lineRule="auto" w:before="0" w:after="0"/>
        <w:ind w:left="464" w:right="0" w:hanging="247"/>
        <w:jc w:val="left"/>
        <w:rPr>
          <w:sz w:val="24"/>
        </w:rPr>
      </w:pPr>
      <w:r>
        <w:rPr>
          <w:sz w:val="24"/>
        </w:rPr>
        <w:t>Mutuo acuerdo.</w:t>
      </w:r>
    </w:p>
    <w:p>
      <w:pPr>
        <w:pStyle w:val="ListParagraph"/>
        <w:numPr>
          <w:ilvl w:val="0"/>
          <w:numId w:val="1"/>
        </w:numPr>
        <w:tabs>
          <w:tab w:pos="438" w:val="left" w:leader="none"/>
        </w:tabs>
        <w:spacing w:line="240" w:lineRule="auto" w:before="0" w:after="0"/>
        <w:ind w:left="437" w:right="0" w:hanging="220"/>
        <w:jc w:val="left"/>
        <w:rPr>
          <w:sz w:val="24"/>
        </w:rPr>
      </w:pPr>
      <w:r>
        <w:rPr>
          <w:sz w:val="24"/>
        </w:rPr>
        <w:t>Falta de pago de la tasa, canon u otros derechos</w:t>
      </w:r>
      <w:r>
        <w:rPr>
          <w:spacing w:val="-2"/>
          <w:sz w:val="24"/>
        </w:rPr>
        <w:t> </w:t>
      </w:r>
      <w:r>
        <w:rPr>
          <w:sz w:val="24"/>
        </w:rPr>
        <w:t>municipales.</w:t>
      </w:r>
    </w:p>
    <w:p>
      <w:pPr>
        <w:pStyle w:val="ListParagraph"/>
        <w:numPr>
          <w:ilvl w:val="0"/>
          <w:numId w:val="1"/>
        </w:numPr>
        <w:tabs>
          <w:tab w:pos="493" w:val="left" w:leader="none"/>
        </w:tabs>
        <w:spacing w:line="240" w:lineRule="auto" w:before="0" w:after="0"/>
        <w:ind w:left="218" w:right="123" w:firstLine="0"/>
        <w:jc w:val="left"/>
        <w:rPr>
          <w:sz w:val="24"/>
        </w:rPr>
      </w:pPr>
      <w:r>
        <w:rPr>
          <w:sz w:val="24"/>
        </w:rPr>
        <w:t>Tener deudas con el Ayuntamiento, de cualquier naturaleza, que se encuentren en periodo ejecutivo, durante el periodo de ocupación</w:t>
      </w:r>
      <w:r>
        <w:rPr>
          <w:spacing w:val="-1"/>
          <w:sz w:val="24"/>
        </w:rPr>
        <w:t> </w:t>
      </w:r>
      <w:r>
        <w:rPr>
          <w:sz w:val="24"/>
        </w:rPr>
        <w:t>autorizado.</w:t>
      </w:r>
    </w:p>
    <w:p>
      <w:pPr>
        <w:pStyle w:val="ListParagraph"/>
        <w:numPr>
          <w:ilvl w:val="0"/>
          <w:numId w:val="1"/>
        </w:numPr>
        <w:tabs>
          <w:tab w:pos="479" w:val="left" w:leader="none"/>
        </w:tabs>
        <w:spacing w:line="240" w:lineRule="auto" w:before="0" w:after="0"/>
        <w:ind w:left="478" w:right="0" w:hanging="261"/>
        <w:jc w:val="left"/>
        <w:rPr>
          <w:sz w:val="24"/>
        </w:rPr>
      </w:pPr>
      <w:r>
        <w:rPr>
          <w:sz w:val="24"/>
        </w:rPr>
        <w:t>Desaparición o desafectación del bien, o agotamiento del</w:t>
      </w:r>
      <w:r>
        <w:rPr>
          <w:spacing w:val="-2"/>
          <w:sz w:val="24"/>
        </w:rPr>
        <w:t> </w:t>
      </w:r>
      <w:r>
        <w:rPr>
          <w:sz w:val="24"/>
        </w:rPr>
        <w:t>aprovechamiento.</w:t>
      </w:r>
    </w:p>
    <w:p>
      <w:pPr>
        <w:spacing w:after="0" w:line="240" w:lineRule="auto"/>
        <w:jc w:val="left"/>
        <w:rPr>
          <w:sz w:val="24"/>
        </w:rPr>
        <w:sectPr>
          <w:pgSz w:w="11910" w:h="16840"/>
          <w:pgMar w:header="905" w:footer="0" w:top="2540" w:bottom="280" w:left="1200" w:right="1300"/>
        </w:sectPr>
      </w:pPr>
    </w:p>
    <w:p>
      <w:pPr>
        <w:pStyle w:val="ListParagraph"/>
        <w:numPr>
          <w:ilvl w:val="0"/>
          <w:numId w:val="1"/>
        </w:numPr>
        <w:tabs>
          <w:tab w:pos="428" w:val="left" w:leader="none"/>
        </w:tabs>
        <w:spacing w:line="240" w:lineRule="auto" w:before="146" w:after="0"/>
        <w:ind w:left="218" w:right="126" w:firstLine="0"/>
        <w:jc w:val="both"/>
        <w:rPr>
          <w:sz w:val="24"/>
        </w:rPr>
      </w:pPr>
      <w:r>
        <w:rPr>
          <w:sz w:val="24"/>
        </w:rPr>
        <w:t>Cualquier otra causa prevista en las condiciones generales o particulares por las que se rijan las autorizaciones y</w:t>
      </w:r>
      <w:r>
        <w:rPr>
          <w:spacing w:val="-1"/>
          <w:sz w:val="24"/>
        </w:rPr>
        <w:t> </w:t>
      </w:r>
      <w:r>
        <w:rPr>
          <w:sz w:val="24"/>
        </w:rPr>
        <w:t>concesiones.</w:t>
      </w:r>
    </w:p>
    <w:p>
      <w:pPr>
        <w:pStyle w:val="ListParagraph"/>
        <w:numPr>
          <w:ilvl w:val="0"/>
          <w:numId w:val="1"/>
        </w:numPr>
        <w:tabs>
          <w:tab w:pos="426" w:val="left" w:leader="none"/>
        </w:tabs>
        <w:spacing w:line="240" w:lineRule="auto" w:before="0" w:after="0"/>
        <w:ind w:left="425" w:right="0" w:hanging="208"/>
        <w:jc w:val="both"/>
        <w:rPr>
          <w:sz w:val="24"/>
        </w:rPr>
      </w:pPr>
      <w:r>
        <w:rPr>
          <w:sz w:val="24"/>
        </w:rPr>
        <w:t>Cese de actividad del establecimiento al que está vinculada en su</w:t>
      </w:r>
      <w:r>
        <w:rPr>
          <w:spacing w:val="-2"/>
          <w:sz w:val="24"/>
        </w:rPr>
        <w:t> </w:t>
      </w:r>
      <w:r>
        <w:rPr>
          <w:sz w:val="24"/>
        </w:rPr>
        <w:t>caso.</w:t>
      </w:r>
    </w:p>
    <w:p>
      <w:pPr>
        <w:pStyle w:val="BodyText"/>
        <w:rPr>
          <w:sz w:val="26"/>
        </w:rPr>
      </w:pPr>
    </w:p>
    <w:p>
      <w:pPr>
        <w:pStyle w:val="BodyText"/>
        <w:rPr>
          <w:sz w:val="22"/>
        </w:rPr>
      </w:pPr>
    </w:p>
    <w:p>
      <w:pPr>
        <w:pStyle w:val="Heading1"/>
      </w:pPr>
      <w:r>
        <w:rPr/>
        <w:t>CAPITULO III.- CONDICIONES GENERALES</w:t>
      </w:r>
    </w:p>
    <w:p>
      <w:pPr>
        <w:pStyle w:val="BodyText"/>
        <w:rPr>
          <w:b/>
        </w:rPr>
      </w:pPr>
    </w:p>
    <w:p>
      <w:pPr>
        <w:spacing w:before="0"/>
        <w:ind w:left="218" w:right="0" w:firstLine="0"/>
        <w:jc w:val="left"/>
        <w:rPr>
          <w:b/>
          <w:sz w:val="24"/>
        </w:rPr>
      </w:pPr>
      <w:r>
        <w:rPr>
          <w:b/>
          <w:sz w:val="24"/>
        </w:rPr>
        <w:t>11.- Condiciones Generales de la ocupación.</w:t>
      </w:r>
    </w:p>
    <w:p>
      <w:pPr>
        <w:pStyle w:val="BodyText"/>
        <w:rPr>
          <w:b/>
        </w:rPr>
      </w:pPr>
    </w:p>
    <w:p>
      <w:pPr>
        <w:pStyle w:val="BodyText"/>
        <w:ind w:left="218"/>
      </w:pPr>
      <w:r>
        <w:rPr/>
        <w:t>Las ocupaciones de los espacios municipales de dominio público cumplirán, con carácter general, las siguientes condiciones:</w:t>
      </w:r>
    </w:p>
    <w:p>
      <w:pPr>
        <w:pStyle w:val="BodyText"/>
        <w:spacing w:before="1"/>
      </w:pPr>
    </w:p>
    <w:p>
      <w:pPr>
        <w:pStyle w:val="ListParagraph"/>
        <w:numPr>
          <w:ilvl w:val="0"/>
          <w:numId w:val="2"/>
        </w:numPr>
        <w:tabs>
          <w:tab w:pos="465" w:val="left" w:leader="none"/>
        </w:tabs>
        <w:spacing w:line="240" w:lineRule="auto" w:before="0" w:after="0"/>
        <w:ind w:left="464" w:right="0" w:hanging="247"/>
        <w:jc w:val="both"/>
        <w:rPr>
          <w:sz w:val="24"/>
        </w:rPr>
      </w:pPr>
      <w:r>
        <w:rPr>
          <w:sz w:val="24"/>
        </w:rPr>
        <w:t>Permitirán el tránsito normal de peatones y vehículos en condiciones</w:t>
      </w:r>
      <w:r>
        <w:rPr>
          <w:spacing w:val="-4"/>
          <w:sz w:val="24"/>
        </w:rPr>
        <w:t> </w:t>
      </w:r>
      <w:r>
        <w:rPr>
          <w:sz w:val="24"/>
        </w:rPr>
        <w:t>adecuadas.</w:t>
      </w:r>
    </w:p>
    <w:p>
      <w:pPr>
        <w:pStyle w:val="ListParagraph"/>
        <w:numPr>
          <w:ilvl w:val="0"/>
          <w:numId w:val="2"/>
        </w:numPr>
        <w:tabs>
          <w:tab w:pos="479" w:val="left" w:leader="none"/>
        </w:tabs>
        <w:spacing w:line="240" w:lineRule="auto" w:before="0" w:after="0"/>
        <w:ind w:left="478" w:right="0" w:hanging="261"/>
        <w:jc w:val="both"/>
        <w:rPr>
          <w:sz w:val="24"/>
        </w:rPr>
      </w:pPr>
      <w:r>
        <w:rPr>
          <w:sz w:val="24"/>
        </w:rPr>
        <w:t>No impedirán ni dificultarán el acceso a edificios y</w:t>
      </w:r>
      <w:r>
        <w:rPr>
          <w:spacing w:val="-2"/>
          <w:sz w:val="24"/>
        </w:rPr>
        <w:t> </w:t>
      </w:r>
      <w:r>
        <w:rPr>
          <w:sz w:val="24"/>
        </w:rPr>
        <w:t>parcelas.</w:t>
      </w:r>
    </w:p>
    <w:p>
      <w:pPr>
        <w:pStyle w:val="ListParagraph"/>
        <w:numPr>
          <w:ilvl w:val="0"/>
          <w:numId w:val="2"/>
        </w:numPr>
        <w:tabs>
          <w:tab w:pos="512" w:val="left" w:leader="none"/>
        </w:tabs>
        <w:spacing w:line="240" w:lineRule="auto" w:before="0" w:after="0"/>
        <w:ind w:left="218" w:right="119" w:firstLine="0"/>
        <w:jc w:val="both"/>
        <w:rPr>
          <w:sz w:val="24"/>
        </w:rPr>
      </w:pPr>
      <w:r>
        <w:rPr>
          <w:sz w:val="24"/>
        </w:rPr>
        <w:t>No obstaculizarán los pasos y vados (tanto peatonales como vehiculares, incluidos los reservados o destinados a personas con movilidad reducida), las paradas de transporte público, las salidas de emergencia ni las zonas habilitadas para carga y</w:t>
      </w:r>
      <w:r>
        <w:rPr>
          <w:spacing w:val="-6"/>
          <w:sz w:val="24"/>
        </w:rPr>
        <w:t> </w:t>
      </w:r>
      <w:r>
        <w:rPr>
          <w:sz w:val="24"/>
        </w:rPr>
        <w:t>descarga.</w:t>
      </w:r>
    </w:p>
    <w:p>
      <w:pPr>
        <w:pStyle w:val="ListParagraph"/>
        <w:numPr>
          <w:ilvl w:val="0"/>
          <w:numId w:val="2"/>
        </w:numPr>
        <w:tabs>
          <w:tab w:pos="479" w:val="left" w:leader="none"/>
        </w:tabs>
        <w:spacing w:line="240" w:lineRule="auto" w:before="0" w:after="0"/>
        <w:ind w:left="478" w:right="0" w:hanging="261"/>
        <w:jc w:val="both"/>
        <w:rPr>
          <w:sz w:val="24"/>
        </w:rPr>
      </w:pPr>
      <w:r>
        <w:rPr>
          <w:sz w:val="24"/>
        </w:rPr>
        <w:t>No afectarán a espacios públicos ajardinados</w:t>
      </w:r>
      <w:r>
        <w:rPr>
          <w:spacing w:val="-1"/>
          <w:sz w:val="24"/>
        </w:rPr>
        <w:t> </w:t>
      </w:r>
      <w:r>
        <w:rPr>
          <w:sz w:val="24"/>
        </w:rPr>
        <w:t>existentes.</w:t>
      </w:r>
    </w:p>
    <w:p>
      <w:pPr>
        <w:pStyle w:val="ListParagraph"/>
        <w:numPr>
          <w:ilvl w:val="0"/>
          <w:numId w:val="2"/>
        </w:numPr>
        <w:tabs>
          <w:tab w:pos="488" w:val="left" w:leader="none"/>
        </w:tabs>
        <w:spacing w:line="240" w:lineRule="auto" w:before="0" w:after="0"/>
        <w:ind w:left="218" w:right="122" w:firstLine="0"/>
        <w:jc w:val="both"/>
        <w:rPr>
          <w:sz w:val="24"/>
        </w:rPr>
      </w:pPr>
      <w:r>
        <w:rPr>
          <w:sz w:val="24"/>
        </w:rPr>
        <w:t>No dificultarán o limitarán la visión de la señalización de tráfico ni pondrán en riesgo la seguridad</w:t>
      </w:r>
      <w:r>
        <w:rPr>
          <w:spacing w:val="-1"/>
          <w:sz w:val="24"/>
        </w:rPr>
        <w:t> </w:t>
      </w:r>
      <w:r>
        <w:rPr>
          <w:sz w:val="24"/>
        </w:rPr>
        <w:t>vial.</w:t>
      </w:r>
    </w:p>
    <w:p>
      <w:pPr>
        <w:pStyle w:val="ListParagraph"/>
        <w:numPr>
          <w:ilvl w:val="0"/>
          <w:numId w:val="2"/>
        </w:numPr>
        <w:tabs>
          <w:tab w:pos="438" w:val="left" w:leader="none"/>
        </w:tabs>
        <w:spacing w:line="240" w:lineRule="auto" w:before="0" w:after="0"/>
        <w:ind w:left="437" w:right="0" w:hanging="220"/>
        <w:jc w:val="both"/>
        <w:rPr>
          <w:sz w:val="24"/>
        </w:rPr>
      </w:pPr>
      <w:r>
        <w:rPr>
          <w:sz w:val="24"/>
        </w:rPr>
        <w:t>No supondrán un riesgo para la seguridad en caso de afluencia masiva de</w:t>
      </w:r>
      <w:r>
        <w:rPr>
          <w:spacing w:val="-5"/>
          <w:sz w:val="24"/>
        </w:rPr>
        <w:t> </w:t>
      </w:r>
      <w:r>
        <w:rPr>
          <w:sz w:val="24"/>
        </w:rPr>
        <w:t>personas.</w:t>
      </w:r>
    </w:p>
    <w:p>
      <w:pPr>
        <w:pStyle w:val="ListParagraph"/>
        <w:numPr>
          <w:ilvl w:val="0"/>
          <w:numId w:val="2"/>
        </w:numPr>
        <w:tabs>
          <w:tab w:pos="524" w:val="left" w:leader="none"/>
        </w:tabs>
        <w:spacing w:line="240" w:lineRule="auto" w:before="0" w:after="0"/>
        <w:ind w:left="218" w:right="124" w:firstLine="0"/>
        <w:jc w:val="both"/>
        <w:rPr>
          <w:sz w:val="24"/>
        </w:rPr>
      </w:pPr>
      <w:r>
        <w:rPr>
          <w:sz w:val="24"/>
        </w:rPr>
        <w:t>No ampararán el desarrollo de actividades o la instalación de dispositivos que puedan producir molestias por ruidos, olores, humos o similares a los</w:t>
      </w:r>
      <w:r>
        <w:rPr>
          <w:spacing w:val="-4"/>
          <w:sz w:val="24"/>
        </w:rPr>
        <w:t> </w:t>
      </w:r>
      <w:r>
        <w:rPr>
          <w:sz w:val="24"/>
        </w:rPr>
        <w:t>residentes.</w:t>
      </w:r>
    </w:p>
    <w:p>
      <w:pPr>
        <w:pStyle w:val="ListParagraph"/>
        <w:numPr>
          <w:ilvl w:val="0"/>
          <w:numId w:val="2"/>
        </w:numPr>
        <w:tabs>
          <w:tab w:pos="562" w:val="left" w:leader="none"/>
        </w:tabs>
        <w:spacing w:line="240" w:lineRule="auto" w:before="0" w:after="0"/>
        <w:ind w:left="218" w:right="120" w:firstLine="0"/>
        <w:jc w:val="both"/>
        <w:rPr>
          <w:sz w:val="24"/>
        </w:rPr>
      </w:pPr>
      <w:r>
        <w:rPr>
          <w:sz w:val="24"/>
        </w:rPr>
        <w:t>No obstaculizar el acceso a los registros e instalaciones de los servicios públicos (abastecimiento de agua, suministro eléctrico, saneamiento, alumbrado público, telecomunicaciones, riego, etc.) para su reparación, supervisión o</w:t>
      </w:r>
      <w:r>
        <w:rPr>
          <w:spacing w:val="-6"/>
          <w:sz w:val="24"/>
        </w:rPr>
        <w:t> </w:t>
      </w:r>
      <w:r>
        <w:rPr>
          <w:sz w:val="24"/>
        </w:rPr>
        <w:t>mantenimiento.</w:t>
      </w:r>
    </w:p>
    <w:p>
      <w:pPr>
        <w:pStyle w:val="ListParagraph"/>
        <w:numPr>
          <w:ilvl w:val="0"/>
          <w:numId w:val="2"/>
        </w:numPr>
        <w:tabs>
          <w:tab w:pos="486" w:val="left" w:leader="none"/>
        </w:tabs>
        <w:spacing w:line="240" w:lineRule="auto" w:before="1" w:after="0"/>
        <w:ind w:left="218" w:right="119" w:firstLine="0"/>
        <w:jc w:val="both"/>
        <w:rPr>
          <w:sz w:val="24"/>
        </w:rPr>
      </w:pPr>
      <w:r>
        <w:rPr>
          <w:sz w:val="24"/>
        </w:rPr>
        <w:t>Mantener las instalaciones y elementos de la ocupación en adecuadas condiciones</w:t>
      </w:r>
      <w:r>
        <w:rPr>
          <w:spacing w:val="40"/>
          <w:sz w:val="24"/>
        </w:rPr>
        <w:t> </w:t>
      </w:r>
      <w:r>
        <w:rPr>
          <w:sz w:val="24"/>
        </w:rPr>
        <w:t>de limpieza, ornato, seguridad y funcionalidad y retirar los elementos fuera del horario de apertura</w:t>
      </w:r>
      <w:r>
        <w:rPr>
          <w:spacing w:val="-2"/>
          <w:sz w:val="24"/>
        </w:rPr>
        <w:t> </w:t>
      </w:r>
      <w:r>
        <w:rPr>
          <w:sz w:val="24"/>
        </w:rPr>
        <w:t>permitido.</w:t>
      </w:r>
    </w:p>
    <w:p>
      <w:pPr>
        <w:pStyle w:val="ListParagraph"/>
        <w:numPr>
          <w:ilvl w:val="0"/>
          <w:numId w:val="2"/>
        </w:numPr>
        <w:tabs>
          <w:tab w:pos="440" w:val="left" w:leader="none"/>
        </w:tabs>
        <w:spacing w:line="240" w:lineRule="auto" w:before="0" w:after="0"/>
        <w:ind w:left="218" w:right="120" w:firstLine="0"/>
        <w:jc w:val="both"/>
        <w:rPr>
          <w:sz w:val="24"/>
        </w:rPr>
      </w:pPr>
      <w:r>
        <w:rPr>
          <w:sz w:val="24"/>
        </w:rPr>
        <w:t>Cesar la actividad vinculada a la ocupación y retirar de manera inmediata, a requerimiento de las autoridades competentes, las instalaciones y elementos de la ocupación, cuando concurran razones de emergencia, necesidad o interés</w:t>
      </w:r>
      <w:r>
        <w:rPr>
          <w:spacing w:val="-2"/>
          <w:sz w:val="24"/>
        </w:rPr>
        <w:t> </w:t>
      </w:r>
      <w:r>
        <w:rPr>
          <w:sz w:val="24"/>
        </w:rPr>
        <w:t>público.</w:t>
      </w:r>
    </w:p>
    <w:p>
      <w:pPr>
        <w:pStyle w:val="ListParagraph"/>
        <w:numPr>
          <w:ilvl w:val="0"/>
          <w:numId w:val="2"/>
        </w:numPr>
        <w:tabs>
          <w:tab w:pos="524" w:val="left" w:leader="none"/>
        </w:tabs>
        <w:spacing w:line="240" w:lineRule="auto" w:before="0" w:after="0"/>
        <w:ind w:left="218" w:right="118" w:firstLine="0"/>
        <w:jc w:val="both"/>
        <w:rPr>
          <w:sz w:val="24"/>
        </w:rPr>
      </w:pPr>
      <w:r>
        <w:rPr>
          <w:sz w:val="24"/>
        </w:rPr>
        <w:t>Retirar las instalaciones y elementos de la ocupación y cesar, en su caso, la actividad vinculada a la misma, cuando finalice, se revoque o suspenda el título</w:t>
      </w:r>
      <w:r>
        <w:rPr>
          <w:spacing w:val="-6"/>
          <w:sz w:val="24"/>
        </w:rPr>
        <w:t> </w:t>
      </w:r>
      <w:r>
        <w:rPr>
          <w:sz w:val="24"/>
        </w:rPr>
        <w:t>habilitante.</w:t>
      </w:r>
    </w:p>
    <w:p>
      <w:pPr>
        <w:pStyle w:val="ListParagraph"/>
        <w:numPr>
          <w:ilvl w:val="0"/>
          <w:numId w:val="2"/>
        </w:numPr>
        <w:tabs>
          <w:tab w:pos="474" w:val="left" w:leader="none"/>
        </w:tabs>
        <w:spacing w:line="240" w:lineRule="auto" w:before="0" w:after="0"/>
        <w:ind w:left="218" w:right="118" w:firstLine="0"/>
        <w:jc w:val="both"/>
        <w:rPr>
          <w:sz w:val="24"/>
        </w:rPr>
      </w:pPr>
      <w:r>
        <w:rPr>
          <w:sz w:val="24"/>
        </w:rPr>
        <w:t>Adaptar las instalaciones a las nuevas condiciones que se establezcan en disposiciones normativas posteriores al otorgamiento de la</w:t>
      </w:r>
      <w:r>
        <w:rPr>
          <w:spacing w:val="-1"/>
          <w:sz w:val="24"/>
        </w:rPr>
        <w:t> </w:t>
      </w:r>
      <w:r>
        <w:rPr>
          <w:sz w:val="24"/>
        </w:rPr>
        <w:t>autorización.</w:t>
      </w:r>
    </w:p>
    <w:p>
      <w:pPr>
        <w:pStyle w:val="ListParagraph"/>
        <w:numPr>
          <w:ilvl w:val="0"/>
          <w:numId w:val="2"/>
        </w:numPr>
        <w:tabs>
          <w:tab w:pos="555" w:val="left" w:leader="none"/>
        </w:tabs>
        <w:spacing w:line="240" w:lineRule="auto" w:before="0" w:after="0"/>
        <w:ind w:left="218" w:right="123" w:firstLine="0"/>
        <w:jc w:val="both"/>
        <w:rPr>
          <w:sz w:val="24"/>
        </w:rPr>
      </w:pPr>
      <w:r>
        <w:rPr>
          <w:sz w:val="24"/>
        </w:rPr>
        <w:t>En el caso de estar afectada por alguna autorización sectorial se estará a los dispuesto por su normativa de aplicación con el alcance y condiciones que en ella se</w:t>
      </w:r>
      <w:r>
        <w:rPr>
          <w:spacing w:val="-5"/>
          <w:sz w:val="24"/>
        </w:rPr>
        <w:t> </w:t>
      </w:r>
      <w:r>
        <w:rPr>
          <w:sz w:val="24"/>
        </w:rPr>
        <w:t>determine.</w:t>
      </w:r>
    </w:p>
    <w:p>
      <w:pPr>
        <w:pStyle w:val="BodyText"/>
        <w:rPr>
          <w:sz w:val="26"/>
        </w:rPr>
      </w:pPr>
    </w:p>
    <w:p>
      <w:pPr>
        <w:pStyle w:val="BodyText"/>
        <w:spacing w:before="1"/>
        <w:rPr>
          <w:sz w:val="22"/>
        </w:rPr>
      </w:pPr>
    </w:p>
    <w:p>
      <w:pPr>
        <w:pStyle w:val="Heading1"/>
      </w:pPr>
      <w:r>
        <w:rPr/>
        <w:t>CAPITULO IV.- CONDICIONES PARTICULARES</w:t>
      </w:r>
    </w:p>
    <w:p>
      <w:pPr>
        <w:pStyle w:val="BodyText"/>
        <w:rPr>
          <w:b/>
        </w:rPr>
      </w:pPr>
    </w:p>
    <w:p>
      <w:pPr>
        <w:spacing w:before="0"/>
        <w:ind w:left="218" w:right="0" w:firstLine="0"/>
        <w:jc w:val="left"/>
        <w:rPr>
          <w:b/>
          <w:sz w:val="24"/>
        </w:rPr>
      </w:pPr>
      <w:r>
        <w:rPr>
          <w:b/>
          <w:sz w:val="24"/>
        </w:rPr>
        <w:t>12.- Terrazas, mesas y sillas.</w:t>
      </w:r>
    </w:p>
    <w:p>
      <w:pPr>
        <w:pStyle w:val="BodyText"/>
        <w:rPr>
          <w:b/>
        </w:rPr>
      </w:pPr>
    </w:p>
    <w:p>
      <w:pPr>
        <w:pStyle w:val="BodyText"/>
        <w:ind w:left="218" w:right="135"/>
      </w:pPr>
      <w:r>
        <w:rPr/>
        <w:t>1.- Es requisito para obtener título relativo a la ocupación público con terrazas, mesas y sillas la existencia de un local con título habilitante para el ejercicio de la actividad.</w:t>
      </w:r>
    </w:p>
    <w:p>
      <w:pPr>
        <w:spacing w:after="0"/>
        <w:sectPr>
          <w:pgSz w:w="11910" w:h="16840"/>
          <w:pgMar w:header="905" w:footer="0" w:top="2540" w:bottom="280" w:left="1200" w:right="1300"/>
        </w:sectPr>
      </w:pPr>
    </w:p>
    <w:p>
      <w:pPr>
        <w:pStyle w:val="BodyText"/>
        <w:spacing w:before="10"/>
        <w:rPr>
          <w:sz w:val="28"/>
        </w:rPr>
      </w:pPr>
    </w:p>
    <w:p>
      <w:pPr>
        <w:pStyle w:val="BodyText"/>
        <w:spacing w:before="90"/>
        <w:ind w:left="218" w:right="121"/>
        <w:jc w:val="both"/>
      </w:pPr>
      <w:r>
        <w:rPr/>
        <w:t>2.- Los pasillos y espacios de circulación intermedios que por razones de funcionalidad u operatividad se habiliten entre los diferentes elementos de la ocupación, computarán como superficie ocupada.</w:t>
      </w:r>
    </w:p>
    <w:p>
      <w:pPr>
        <w:pStyle w:val="BodyText"/>
      </w:pPr>
    </w:p>
    <w:p>
      <w:pPr>
        <w:pStyle w:val="BodyText"/>
        <w:ind w:left="218" w:right="124"/>
        <w:jc w:val="both"/>
      </w:pPr>
      <w:r>
        <w:rPr/>
        <w:t>3.- En el caso de ocupación de zonas de uso público, tales como plazas, parques o espacios públicos abiertos o similares, la solicitud deberá ir acompañada de un estudio de ocupación.</w:t>
      </w:r>
    </w:p>
    <w:p>
      <w:pPr>
        <w:pStyle w:val="BodyText"/>
      </w:pPr>
    </w:p>
    <w:p>
      <w:pPr>
        <w:pStyle w:val="BodyText"/>
        <w:ind w:left="218" w:right="118"/>
        <w:jc w:val="both"/>
      </w:pPr>
      <w:r>
        <w:rPr/>
        <w:t>4.- Los accesos a los locales quedarán libres, dejando un pasillo de frente mínimo para la salida o acceso de emergencia.</w:t>
      </w:r>
    </w:p>
    <w:p>
      <w:pPr>
        <w:pStyle w:val="BodyText"/>
        <w:spacing w:before="1"/>
      </w:pPr>
    </w:p>
    <w:p>
      <w:pPr>
        <w:pStyle w:val="BodyText"/>
        <w:ind w:left="218" w:right="121"/>
        <w:jc w:val="both"/>
      </w:pPr>
      <w:r>
        <w:rPr/>
        <w:t>5.- Las mesas, sillas y parasoles se retirarán diariamente al terminar la jornada laboral, sin que puedan dejarse apiladas en la vía pública, debiendo quedar tras la retirada, en perfecto estado de limpieza y libre de papeles, colillas, etc.</w:t>
      </w:r>
    </w:p>
    <w:p>
      <w:pPr>
        <w:pStyle w:val="BodyText"/>
      </w:pPr>
    </w:p>
    <w:p>
      <w:pPr>
        <w:pStyle w:val="BodyText"/>
        <w:ind w:left="218" w:right="120"/>
        <w:jc w:val="both"/>
      </w:pPr>
      <w:r>
        <w:rPr/>
        <w:t>6.- En las vías que soporten tránsito rodado, las ocupaciones con terrazas, mesas y sillas, cumplirán las siguientes condiciones:</w:t>
      </w:r>
    </w:p>
    <w:p>
      <w:pPr>
        <w:pStyle w:val="ListParagraph"/>
        <w:numPr>
          <w:ilvl w:val="0"/>
          <w:numId w:val="3"/>
        </w:numPr>
        <w:tabs>
          <w:tab w:pos="476" w:val="left" w:leader="none"/>
        </w:tabs>
        <w:spacing w:line="240" w:lineRule="auto" w:before="0" w:after="0"/>
        <w:ind w:left="218" w:right="116" w:firstLine="0"/>
        <w:jc w:val="both"/>
        <w:rPr>
          <w:sz w:val="24"/>
        </w:rPr>
      </w:pPr>
      <w:r>
        <w:rPr>
          <w:sz w:val="24"/>
        </w:rPr>
        <w:t>Sólo podrán ser ocupadas las aceras o zonas destinadas al uso peatonal a excepción de los casos previsto en el</w:t>
      </w:r>
      <w:r>
        <w:rPr>
          <w:spacing w:val="1"/>
          <w:sz w:val="24"/>
        </w:rPr>
        <w:t> </w:t>
      </w:r>
      <w:r>
        <w:rPr>
          <w:sz w:val="24"/>
        </w:rPr>
        <w:t>12.12.</w:t>
      </w:r>
    </w:p>
    <w:p>
      <w:pPr>
        <w:pStyle w:val="BodyText"/>
      </w:pPr>
    </w:p>
    <w:p>
      <w:pPr>
        <w:pStyle w:val="ListParagraph"/>
        <w:numPr>
          <w:ilvl w:val="0"/>
          <w:numId w:val="3"/>
        </w:numPr>
        <w:tabs>
          <w:tab w:pos="481" w:val="left" w:leader="none"/>
        </w:tabs>
        <w:spacing w:line="240" w:lineRule="auto" w:before="0" w:after="0"/>
        <w:ind w:left="218" w:right="119" w:firstLine="0"/>
        <w:jc w:val="both"/>
        <w:rPr>
          <w:sz w:val="24"/>
        </w:rPr>
      </w:pPr>
      <w:r>
        <w:rPr>
          <w:sz w:val="24"/>
        </w:rPr>
        <w:t>No se autorizará la ocupación en los tramos de acera o espacios de circulación peatonal que presenten una anchura inferior a dos metros y noventa centímetros (2,90 m), descontando, en caso de existir, la franja de vegetación y/o</w:t>
      </w:r>
      <w:r>
        <w:rPr>
          <w:spacing w:val="-1"/>
          <w:sz w:val="24"/>
        </w:rPr>
        <w:t> </w:t>
      </w:r>
      <w:r>
        <w:rPr>
          <w:sz w:val="24"/>
        </w:rPr>
        <w:t>plantaciones.</w:t>
      </w:r>
    </w:p>
    <w:p>
      <w:pPr>
        <w:pStyle w:val="BodyText"/>
        <w:spacing w:before="1"/>
      </w:pPr>
    </w:p>
    <w:p>
      <w:pPr>
        <w:pStyle w:val="ListParagraph"/>
        <w:numPr>
          <w:ilvl w:val="0"/>
          <w:numId w:val="3"/>
        </w:numPr>
        <w:tabs>
          <w:tab w:pos="476" w:val="left" w:leader="none"/>
        </w:tabs>
        <w:spacing w:line="240" w:lineRule="auto" w:before="0" w:after="0"/>
        <w:ind w:left="218" w:right="121" w:firstLine="0"/>
        <w:jc w:val="both"/>
        <w:rPr>
          <w:sz w:val="24"/>
        </w:rPr>
      </w:pPr>
      <w:r>
        <w:rPr>
          <w:sz w:val="24"/>
        </w:rPr>
        <w:t>La ocupación se desarrollará en una franja contigua o paralela a la alineación de vial de la parcela. Dicha franja deberá presentar un ancho uniforme, salvo que la configuración</w:t>
      </w:r>
      <w:r>
        <w:rPr>
          <w:spacing w:val="37"/>
          <w:sz w:val="24"/>
        </w:rPr>
        <w:t> </w:t>
      </w:r>
      <w:r>
        <w:rPr>
          <w:sz w:val="24"/>
        </w:rPr>
        <w:t>y dimensiones del espacio público permitan ocupaciones de superficies trapezoidales o irregulares y nunca superior a 4.00 m de franja de ocupación paralela a la</w:t>
      </w:r>
      <w:r>
        <w:rPr>
          <w:spacing w:val="-9"/>
          <w:sz w:val="24"/>
        </w:rPr>
        <w:t> </w:t>
      </w:r>
      <w:r>
        <w:rPr>
          <w:sz w:val="24"/>
        </w:rPr>
        <w:t>alineación.</w:t>
      </w:r>
    </w:p>
    <w:p>
      <w:pPr>
        <w:pStyle w:val="BodyText"/>
      </w:pPr>
    </w:p>
    <w:p>
      <w:pPr>
        <w:pStyle w:val="ListParagraph"/>
        <w:numPr>
          <w:ilvl w:val="0"/>
          <w:numId w:val="3"/>
        </w:numPr>
        <w:tabs>
          <w:tab w:pos="507" w:val="left" w:leader="none"/>
        </w:tabs>
        <w:spacing w:line="240" w:lineRule="auto" w:before="0" w:after="0"/>
        <w:ind w:left="218" w:right="114" w:firstLine="0"/>
        <w:jc w:val="both"/>
        <w:rPr>
          <w:sz w:val="24"/>
        </w:rPr>
      </w:pPr>
      <w:r>
        <w:rPr>
          <w:sz w:val="24"/>
        </w:rPr>
        <w:t>Deberá respetarse un espacio libre longitudinal de circulación peatonal de, al menos, un metro y cuarenta centímetros (1,40 m) de ancho general para las vías de todo el municipio menos para la avenida de Las Playas donde será el espacio libre de 3.00, medido desde el bordillo o mobiliario urbano. No se tendrá en cuenta para el cómputo del ancho de la acera la franja de vegetación, en caso de existir la</w:t>
      </w:r>
      <w:r>
        <w:rPr>
          <w:spacing w:val="-3"/>
          <w:sz w:val="24"/>
        </w:rPr>
        <w:t> </w:t>
      </w:r>
      <w:r>
        <w:rPr>
          <w:sz w:val="24"/>
        </w:rPr>
        <w:t>misma.</w:t>
      </w:r>
    </w:p>
    <w:p>
      <w:pPr>
        <w:pStyle w:val="BodyText"/>
      </w:pPr>
    </w:p>
    <w:p>
      <w:pPr>
        <w:pStyle w:val="ListParagraph"/>
        <w:numPr>
          <w:ilvl w:val="0"/>
          <w:numId w:val="3"/>
        </w:numPr>
        <w:tabs>
          <w:tab w:pos="469" w:val="left" w:leader="none"/>
        </w:tabs>
        <w:spacing w:line="240" w:lineRule="auto" w:before="0" w:after="0"/>
        <w:ind w:left="218" w:right="112" w:firstLine="0"/>
        <w:jc w:val="both"/>
        <w:rPr>
          <w:sz w:val="24"/>
        </w:rPr>
      </w:pPr>
      <w:r>
        <w:rPr>
          <w:sz w:val="24"/>
        </w:rPr>
        <w:t>La ocupación sólo podrá autorizarse en el frente, contiguo a fachada, del establecimiento al que se vincula, en su totalidad, a excepción de lo previsto en el apartado 12.12., si otras circunstancias (paso de peatones, paradas de guaguas, salidas de emergencia, entrada de vivienda, redes, etc.) no lo</w:t>
      </w:r>
      <w:r>
        <w:rPr>
          <w:spacing w:val="-1"/>
          <w:sz w:val="24"/>
        </w:rPr>
        <w:t> </w:t>
      </w:r>
      <w:r>
        <w:rPr>
          <w:sz w:val="24"/>
        </w:rPr>
        <w:t>impiden.</w:t>
      </w:r>
    </w:p>
    <w:p>
      <w:pPr>
        <w:pStyle w:val="BodyText"/>
        <w:spacing w:before="1"/>
      </w:pPr>
    </w:p>
    <w:p>
      <w:pPr>
        <w:pStyle w:val="ListParagraph"/>
        <w:numPr>
          <w:ilvl w:val="0"/>
          <w:numId w:val="3"/>
        </w:numPr>
        <w:tabs>
          <w:tab w:pos="543" w:val="left" w:leader="none"/>
        </w:tabs>
        <w:spacing w:line="240" w:lineRule="auto" w:before="0" w:after="0"/>
        <w:ind w:left="218" w:right="119" w:firstLine="0"/>
        <w:jc w:val="both"/>
        <w:rPr>
          <w:sz w:val="24"/>
        </w:rPr>
      </w:pPr>
      <w:r>
        <w:rPr>
          <w:sz w:val="24"/>
        </w:rPr>
        <w:t>En el supuesto de establecimientos con fachada en esquina, la ocupación podrá desarrollarse en los frentes de ambas fachadas, siempre dentro de los límites establecidos en  la presente Ordenanza.</w:t>
      </w:r>
    </w:p>
    <w:p>
      <w:pPr>
        <w:pStyle w:val="BodyText"/>
      </w:pPr>
    </w:p>
    <w:p>
      <w:pPr>
        <w:pStyle w:val="BodyText"/>
        <w:ind w:left="218" w:right="119"/>
        <w:jc w:val="both"/>
      </w:pPr>
      <w:r>
        <w:rPr/>
        <w:t>7.- En las vías de tránsito exclusivamente peatonal o vehículo restringido, las ocupaciones con terrazas, mesas y sillas, cumplirán las siguientes condiciones:</w:t>
      </w:r>
    </w:p>
    <w:p>
      <w:pPr>
        <w:spacing w:after="0"/>
        <w:jc w:val="both"/>
        <w:sectPr>
          <w:pgSz w:w="11910" w:h="16840"/>
          <w:pgMar w:header="905" w:footer="0" w:top="2540" w:bottom="280" w:left="1200" w:right="1300"/>
        </w:sectPr>
      </w:pPr>
    </w:p>
    <w:p>
      <w:pPr>
        <w:pStyle w:val="BodyText"/>
        <w:spacing w:before="10"/>
        <w:rPr>
          <w:sz w:val="28"/>
        </w:rPr>
      </w:pPr>
    </w:p>
    <w:p>
      <w:pPr>
        <w:pStyle w:val="ListParagraph"/>
        <w:numPr>
          <w:ilvl w:val="0"/>
          <w:numId w:val="4"/>
        </w:numPr>
        <w:tabs>
          <w:tab w:pos="465" w:val="left" w:leader="none"/>
        </w:tabs>
        <w:spacing w:line="240" w:lineRule="auto" w:before="90" w:after="0"/>
        <w:ind w:left="218" w:right="121" w:firstLine="0"/>
        <w:jc w:val="both"/>
        <w:rPr>
          <w:sz w:val="24"/>
        </w:rPr>
      </w:pPr>
      <w:r>
        <w:rPr>
          <w:sz w:val="24"/>
        </w:rPr>
        <w:t>No se autorizará la ocupación en los tramos de vías que presenten una anchura libre inferior a seis metros (6.00</w:t>
      </w:r>
      <w:r>
        <w:rPr>
          <w:spacing w:val="-2"/>
          <w:sz w:val="24"/>
        </w:rPr>
        <w:t> </w:t>
      </w:r>
      <w:r>
        <w:rPr>
          <w:sz w:val="24"/>
        </w:rPr>
        <w:t>m).</w:t>
      </w:r>
    </w:p>
    <w:p>
      <w:pPr>
        <w:pStyle w:val="BodyText"/>
      </w:pPr>
    </w:p>
    <w:p>
      <w:pPr>
        <w:pStyle w:val="ListParagraph"/>
        <w:numPr>
          <w:ilvl w:val="0"/>
          <w:numId w:val="4"/>
        </w:numPr>
        <w:tabs>
          <w:tab w:pos="534" w:val="left" w:leader="none"/>
        </w:tabs>
        <w:spacing w:line="240" w:lineRule="auto" w:before="0" w:after="0"/>
        <w:ind w:left="218" w:right="123" w:firstLine="0"/>
        <w:jc w:val="both"/>
        <w:rPr>
          <w:sz w:val="24"/>
        </w:rPr>
      </w:pPr>
      <w:r>
        <w:rPr>
          <w:sz w:val="24"/>
        </w:rPr>
        <w:t>Deberá respetarse una franja libre de ocupación de al menos dos metros y cincuenta centímetros (2,50 m) de ancho en toda la longitud de la</w:t>
      </w:r>
      <w:r>
        <w:rPr>
          <w:spacing w:val="-3"/>
          <w:sz w:val="24"/>
        </w:rPr>
        <w:t> </w:t>
      </w:r>
      <w:r>
        <w:rPr>
          <w:sz w:val="24"/>
        </w:rPr>
        <w:t>vía.</w:t>
      </w:r>
    </w:p>
    <w:p>
      <w:pPr>
        <w:pStyle w:val="BodyText"/>
      </w:pPr>
    </w:p>
    <w:p>
      <w:pPr>
        <w:pStyle w:val="ListParagraph"/>
        <w:numPr>
          <w:ilvl w:val="0"/>
          <w:numId w:val="4"/>
        </w:numPr>
        <w:tabs>
          <w:tab w:pos="474" w:val="left" w:leader="none"/>
        </w:tabs>
        <w:spacing w:line="240" w:lineRule="auto" w:before="0" w:after="0"/>
        <w:ind w:left="218" w:right="122" w:firstLine="0"/>
        <w:jc w:val="both"/>
        <w:rPr>
          <w:sz w:val="24"/>
        </w:rPr>
      </w:pPr>
      <w:r>
        <w:rPr>
          <w:sz w:val="24"/>
        </w:rPr>
        <w:t>La franja libre de ocupación a que se refiere la letra anterior se situará obligatoriamente en el centro de la</w:t>
      </w:r>
      <w:r>
        <w:rPr>
          <w:spacing w:val="-4"/>
          <w:sz w:val="24"/>
        </w:rPr>
        <w:t> </w:t>
      </w:r>
      <w:r>
        <w:rPr>
          <w:sz w:val="24"/>
        </w:rPr>
        <w:t>vía.</w:t>
      </w:r>
    </w:p>
    <w:p>
      <w:pPr>
        <w:pStyle w:val="BodyText"/>
        <w:spacing w:before="1"/>
      </w:pPr>
    </w:p>
    <w:p>
      <w:pPr>
        <w:pStyle w:val="ListParagraph"/>
        <w:numPr>
          <w:ilvl w:val="0"/>
          <w:numId w:val="4"/>
        </w:numPr>
        <w:tabs>
          <w:tab w:pos="479" w:val="left" w:leader="none"/>
        </w:tabs>
        <w:spacing w:line="240" w:lineRule="auto" w:before="0" w:after="0"/>
        <w:ind w:left="478" w:right="0" w:hanging="261"/>
        <w:jc w:val="both"/>
        <w:rPr>
          <w:sz w:val="24"/>
        </w:rPr>
      </w:pPr>
      <w:r>
        <w:rPr>
          <w:sz w:val="24"/>
        </w:rPr>
        <w:t>La terraza se instalará delante del</w:t>
      </w:r>
      <w:r>
        <w:rPr>
          <w:spacing w:val="-4"/>
          <w:sz w:val="24"/>
        </w:rPr>
        <w:t> </w:t>
      </w:r>
      <w:r>
        <w:rPr>
          <w:sz w:val="24"/>
        </w:rPr>
        <w:t>establecimiento.</w:t>
      </w:r>
    </w:p>
    <w:p>
      <w:pPr>
        <w:pStyle w:val="BodyText"/>
      </w:pPr>
    </w:p>
    <w:p>
      <w:pPr>
        <w:pStyle w:val="ListParagraph"/>
        <w:numPr>
          <w:ilvl w:val="0"/>
          <w:numId w:val="4"/>
        </w:numPr>
        <w:tabs>
          <w:tab w:pos="465" w:val="left" w:leader="none"/>
        </w:tabs>
        <w:spacing w:line="240" w:lineRule="auto" w:before="0" w:after="0"/>
        <w:ind w:left="218" w:right="119" w:firstLine="0"/>
        <w:jc w:val="both"/>
        <w:rPr>
          <w:sz w:val="24"/>
        </w:rPr>
      </w:pPr>
      <w:r>
        <w:rPr>
          <w:sz w:val="24"/>
        </w:rPr>
        <w:t>El titular de la autorización, deberá mantener vigente la póliza de seguro de responsabilidad civil correspondiente al establecimiento y a la terraza, que deberá cubrir al menos los riesgos de funcionamiento de la terraza, de la instalación y de la reposición de los elementos del espacio de uso</w:t>
      </w:r>
      <w:r>
        <w:rPr>
          <w:spacing w:val="-1"/>
          <w:sz w:val="24"/>
        </w:rPr>
        <w:t> </w:t>
      </w:r>
      <w:r>
        <w:rPr>
          <w:sz w:val="24"/>
        </w:rPr>
        <w:t>público.</w:t>
      </w:r>
    </w:p>
    <w:p>
      <w:pPr>
        <w:pStyle w:val="BodyText"/>
      </w:pPr>
    </w:p>
    <w:p>
      <w:pPr>
        <w:pStyle w:val="BodyText"/>
        <w:ind w:left="218"/>
      </w:pPr>
      <w:r>
        <w:rPr/>
        <w:t>8.- Características de los elementos vinculados a la actividad con terraza (Véase </w:t>
      </w:r>
      <w:r>
        <w:rPr>
          <w:b/>
        </w:rPr>
        <w:t>ANEXO I</w:t>
      </w:r>
      <w:r>
        <w:rPr/>
        <w:t>):</w:t>
      </w:r>
    </w:p>
    <w:p>
      <w:pPr>
        <w:pStyle w:val="BodyText"/>
      </w:pPr>
    </w:p>
    <w:p>
      <w:pPr>
        <w:pStyle w:val="ListParagraph"/>
        <w:numPr>
          <w:ilvl w:val="0"/>
          <w:numId w:val="5"/>
        </w:numPr>
        <w:tabs>
          <w:tab w:pos="517" w:val="left" w:leader="none"/>
        </w:tabs>
        <w:spacing w:line="240" w:lineRule="auto" w:before="0" w:after="0"/>
        <w:ind w:left="218" w:right="117" w:firstLine="0"/>
        <w:jc w:val="both"/>
        <w:rPr>
          <w:sz w:val="24"/>
        </w:rPr>
      </w:pPr>
      <w:r>
        <w:rPr>
          <w:sz w:val="24"/>
        </w:rPr>
        <w:t>Todos los elementos que formen la ocupación deben ser de idéntico modelo, color y material, </w:t>
      </w:r>
      <w:r>
        <w:rPr>
          <w:b/>
          <w:sz w:val="24"/>
        </w:rPr>
        <w:t>sin incluir ningún tipo de publicidad</w:t>
      </w:r>
      <w:r>
        <w:rPr>
          <w:sz w:val="24"/>
        </w:rPr>
        <w:t>, nombre o logotipo o razón social del establecimiento.</w:t>
      </w:r>
    </w:p>
    <w:p>
      <w:pPr>
        <w:pStyle w:val="BodyText"/>
      </w:pPr>
    </w:p>
    <w:p>
      <w:pPr>
        <w:pStyle w:val="ListParagraph"/>
        <w:numPr>
          <w:ilvl w:val="0"/>
          <w:numId w:val="5"/>
        </w:numPr>
        <w:tabs>
          <w:tab w:pos="479" w:val="left" w:leader="none"/>
        </w:tabs>
        <w:spacing w:line="240" w:lineRule="auto" w:before="0" w:after="0"/>
        <w:ind w:left="478" w:right="0" w:hanging="261"/>
        <w:jc w:val="both"/>
        <w:rPr>
          <w:sz w:val="24"/>
        </w:rPr>
      </w:pPr>
      <w:r>
        <w:rPr>
          <w:sz w:val="24"/>
        </w:rPr>
        <w:t>La ocupación con mesas, sillas deberá cumplir las siguientes</w:t>
      </w:r>
      <w:r>
        <w:rPr>
          <w:spacing w:val="-3"/>
          <w:sz w:val="24"/>
        </w:rPr>
        <w:t> </w:t>
      </w:r>
      <w:r>
        <w:rPr>
          <w:sz w:val="24"/>
        </w:rPr>
        <w:t>condiciones:</w:t>
      </w:r>
    </w:p>
    <w:p>
      <w:pPr>
        <w:pStyle w:val="BodyText"/>
        <w:spacing w:before="1"/>
      </w:pPr>
    </w:p>
    <w:p>
      <w:pPr>
        <w:pStyle w:val="ListParagraph"/>
        <w:numPr>
          <w:ilvl w:val="0"/>
          <w:numId w:val="6"/>
        </w:numPr>
        <w:tabs>
          <w:tab w:pos="399" w:val="left" w:leader="none"/>
        </w:tabs>
        <w:spacing w:line="240" w:lineRule="auto" w:before="0" w:after="0"/>
        <w:ind w:left="218" w:right="118" w:firstLine="0"/>
        <w:jc w:val="left"/>
        <w:rPr>
          <w:sz w:val="24"/>
        </w:rPr>
      </w:pPr>
      <w:r>
        <w:rPr>
          <w:sz w:val="24"/>
        </w:rPr>
        <w:t>La ocupación mínima computada por la denominación “mesa y 4 sillas” es de 1.50m * 1.50m.</w:t>
      </w:r>
    </w:p>
    <w:p>
      <w:pPr>
        <w:pStyle w:val="ListParagraph"/>
        <w:numPr>
          <w:ilvl w:val="0"/>
          <w:numId w:val="6"/>
        </w:numPr>
        <w:tabs>
          <w:tab w:pos="471" w:val="left" w:leader="none"/>
        </w:tabs>
        <w:spacing w:line="240" w:lineRule="auto" w:before="0" w:after="0"/>
        <w:ind w:left="218" w:right="111" w:firstLine="0"/>
        <w:jc w:val="left"/>
        <w:rPr>
          <w:sz w:val="24"/>
        </w:rPr>
      </w:pPr>
      <w:r>
        <w:rPr>
          <w:sz w:val="24"/>
        </w:rPr>
        <w:t>La ocupación mínima computada por la denominación “barril y taburete” es de 0.80m*1.50m.</w:t>
      </w:r>
    </w:p>
    <w:p>
      <w:pPr>
        <w:pStyle w:val="ListParagraph"/>
        <w:numPr>
          <w:ilvl w:val="0"/>
          <w:numId w:val="6"/>
        </w:numPr>
        <w:tabs>
          <w:tab w:pos="359" w:val="left" w:leader="none"/>
        </w:tabs>
        <w:spacing w:line="240" w:lineRule="auto" w:before="0" w:after="0"/>
        <w:ind w:left="358" w:right="0" w:hanging="141"/>
        <w:jc w:val="left"/>
        <w:rPr>
          <w:sz w:val="24"/>
        </w:rPr>
      </w:pPr>
      <w:r>
        <w:rPr>
          <w:sz w:val="24"/>
        </w:rPr>
        <w:t>No es posible la denominación “mesas y 2</w:t>
      </w:r>
      <w:r>
        <w:rPr>
          <w:spacing w:val="-5"/>
          <w:sz w:val="24"/>
        </w:rPr>
        <w:t> </w:t>
      </w:r>
      <w:r>
        <w:rPr>
          <w:sz w:val="24"/>
        </w:rPr>
        <w:t>sillas”</w:t>
      </w:r>
    </w:p>
    <w:p>
      <w:pPr>
        <w:pStyle w:val="BodyText"/>
      </w:pPr>
    </w:p>
    <w:p>
      <w:pPr>
        <w:pStyle w:val="ListParagraph"/>
        <w:numPr>
          <w:ilvl w:val="1"/>
          <w:numId w:val="5"/>
        </w:numPr>
        <w:tabs>
          <w:tab w:pos="684" w:val="left" w:leader="none"/>
        </w:tabs>
        <w:spacing w:line="240" w:lineRule="auto" w:before="0" w:after="0"/>
        <w:ind w:left="218" w:right="118" w:firstLine="0"/>
        <w:jc w:val="both"/>
        <w:rPr>
          <w:sz w:val="24"/>
        </w:rPr>
      </w:pPr>
      <w:r>
        <w:rPr>
          <w:b/>
          <w:sz w:val="24"/>
        </w:rPr>
        <w:t>Mesas: </w:t>
      </w:r>
      <w:r>
        <w:rPr>
          <w:sz w:val="24"/>
        </w:rPr>
        <w:t>apilables y ligeras para facilitar su retirada. Tablero conglomerado semisintético compacto, madera u otro material de calidad similar o superior. Estructura de aluminio, fundición de aluminio, acero inoxidable o material de calidad similar o superior. Deberá contar con protección en patas para evitar el ruido ante apilamiento o contacto con el</w:t>
      </w:r>
      <w:r>
        <w:rPr>
          <w:spacing w:val="-10"/>
          <w:sz w:val="24"/>
        </w:rPr>
        <w:t> </w:t>
      </w:r>
      <w:r>
        <w:rPr>
          <w:sz w:val="24"/>
        </w:rPr>
        <w:t>suelo.</w:t>
      </w:r>
    </w:p>
    <w:p>
      <w:pPr>
        <w:pStyle w:val="BodyText"/>
      </w:pPr>
    </w:p>
    <w:p>
      <w:pPr>
        <w:pStyle w:val="ListParagraph"/>
        <w:numPr>
          <w:ilvl w:val="1"/>
          <w:numId w:val="5"/>
        </w:numPr>
        <w:tabs>
          <w:tab w:pos="730" w:val="left" w:leader="none"/>
        </w:tabs>
        <w:spacing w:line="240" w:lineRule="auto" w:before="0" w:after="0"/>
        <w:ind w:left="218" w:right="120" w:firstLine="0"/>
        <w:jc w:val="both"/>
        <w:rPr>
          <w:sz w:val="24"/>
        </w:rPr>
      </w:pPr>
      <w:r>
        <w:rPr>
          <w:b/>
          <w:sz w:val="24"/>
        </w:rPr>
        <w:t>Sillas: </w:t>
      </w:r>
      <w:r>
        <w:rPr>
          <w:sz w:val="24"/>
        </w:rPr>
        <w:t>apilable y ligera para facilitar su retirada al cierre de la actividad. Material aluminio, fundición de aluminio, polipropileno, madera u otro material de calidad superior. Respaldo y asiento material calidad superior. Protecciones, tacos o elementos que eviten ruido durante el apilamiento o contacto con el</w:t>
      </w:r>
      <w:r>
        <w:rPr>
          <w:spacing w:val="2"/>
          <w:sz w:val="24"/>
        </w:rPr>
        <w:t> </w:t>
      </w:r>
      <w:r>
        <w:rPr>
          <w:sz w:val="24"/>
        </w:rPr>
        <w:t>suelo.</w:t>
      </w:r>
    </w:p>
    <w:p>
      <w:pPr>
        <w:pStyle w:val="BodyText"/>
        <w:spacing w:before="1"/>
      </w:pPr>
    </w:p>
    <w:p>
      <w:pPr>
        <w:pStyle w:val="ListParagraph"/>
        <w:numPr>
          <w:ilvl w:val="0"/>
          <w:numId w:val="5"/>
        </w:numPr>
        <w:tabs>
          <w:tab w:pos="529" w:val="left" w:leader="none"/>
        </w:tabs>
        <w:spacing w:line="240" w:lineRule="auto" w:before="0" w:after="0"/>
        <w:ind w:left="218" w:right="114" w:firstLine="0"/>
        <w:jc w:val="both"/>
        <w:rPr>
          <w:sz w:val="24"/>
        </w:rPr>
      </w:pPr>
      <w:r>
        <w:rPr>
          <w:b/>
          <w:sz w:val="24"/>
        </w:rPr>
        <w:t>Toldos</w:t>
      </w:r>
      <w:r>
        <w:rPr>
          <w:sz w:val="24"/>
        </w:rPr>
        <w:t>: con carácter general, cualquier instalación de terraza es susceptible de estar equipada mediante este elemento de protección. Estos elementos </w:t>
      </w:r>
      <w:r>
        <w:rPr>
          <w:b/>
          <w:sz w:val="24"/>
        </w:rPr>
        <w:t>sólo podrán estar anclados a la fachada del edificio</w:t>
      </w:r>
      <w:r>
        <w:rPr>
          <w:sz w:val="24"/>
        </w:rPr>
        <w:t>, y tendrán la condición de </w:t>
      </w:r>
      <w:r>
        <w:rPr>
          <w:b/>
          <w:sz w:val="24"/>
        </w:rPr>
        <w:t>plegables o enrollables</w:t>
      </w:r>
      <w:r>
        <w:rPr>
          <w:sz w:val="24"/>
        </w:rPr>
        <w:t>. La extensión del toldo deberá realizarse en el plano horizontal o inclinado, quedando prohibidos cualquier tipo de</w:t>
      </w:r>
      <w:r>
        <w:rPr>
          <w:spacing w:val="26"/>
          <w:sz w:val="24"/>
        </w:rPr>
        <w:t> </w:t>
      </w:r>
      <w:r>
        <w:rPr>
          <w:sz w:val="24"/>
        </w:rPr>
        <w:t>toldo</w:t>
      </w:r>
      <w:r>
        <w:rPr>
          <w:spacing w:val="27"/>
          <w:sz w:val="24"/>
        </w:rPr>
        <w:t> </w:t>
      </w:r>
      <w:r>
        <w:rPr>
          <w:sz w:val="24"/>
        </w:rPr>
        <w:t>lateral.</w:t>
      </w:r>
      <w:r>
        <w:rPr>
          <w:spacing w:val="28"/>
          <w:sz w:val="24"/>
        </w:rPr>
        <w:t> </w:t>
      </w:r>
      <w:r>
        <w:rPr>
          <w:sz w:val="24"/>
        </w:rPr>
        <w:t>El</w:t>
      </w:r>
      <w:r>
        <w:rPr>
          <w:spacing w:val="27"/>
          <w:sz w:val="24"/>
        </w:rPr>
        <w:t> </w:t>
      </w:r>
      <w:r>
        <w:rPr>
          <w:sz w:val="24"/>
        </w:rPr>
        <w:t>elemento</w:t>
      </w:r>
      <w:r>
        <w:rPr>
          <w:spacing w:val="28"/>
          <w:sz w:val="24"/>
        </w:rPr>
        <w:t> </w:t>
      </w:r>
      <w:r>
        <w:rPr>
          <w:sz w:val="24"/>
        </w:rPr>
        <w:t>de</w:t>
      </w:r>
      <w:r>
        <w:rPr>
          <w:spacing w:val="26"/>
          <w:sz w:val="24"/>
        </w:rPr>
        <w:t> </w:t>
      </w:r>
      <w:r>
        <w:rPr>
          <w:sz w:val="24"/>
        </w:rPr>
        <w:t>protección</w:t>
      </w:r>
      <w:r>
        <w:rPr>
          <w:spacing w:val="28"/>
          <w:sz w:val="24"/>
        </w:rPr>
        <w:t> </w:t>
      </w:r>
      <w:r>
        <w:rPr>
          <w:sz w:val="24"/>
        </w:rPr>
        <w:t>de</w:t>
      </w:r>
      <w:r>
        <w:rPr>
          <w:spacing w:val="26"/>
          <w:sz w:val="24"/>
        </w:rPr>
        <w:t> </w:t>
      </w:r>
      <w:r>
        <w:rPr>
          <w:sz w:val="24"/>
        </w:rPr>
        <w:t>los</w:t>
      </w:r>
      <w:r>
        <w:rPr>
          <w:spacing w:val="28"/>
          <w:sz w:val="24"/>
        </w:rPr>
        <w:t> </w:t>
      </w:r>
      <w:r>
        <w:rPr>
          <w:sz w:val="24"/>
        </w:rPr>
        <w:t>toldos</w:t>
      </w:r>
      <w:r>
        <w:rPr>
          <w:spacing w:val="27"/>
          <w:sz w:val="24"/>
        </w:rPr>
        <w:t> </w:t>
      </w:r>
      <w:r>
        <w:rPr>
          <w:sz w:val="24"/>
        </w:rPr>
        <w:t>será</w:t>
      </w:r>
      <w:r>
        <w:rPr>
          <w:spacing w:val="25"/>
          <w:sz w:val="24"/>
        </w:rPr>
        <w:t> </w:t>
      </w:r>
      <w:r>
        <w:rPr>
          <w:sz w:val="24"/>
        </w:rPr>
        <w:t>de</w:t>
      </w:r>
      <w:r>
        <w:rPr>
          <w:spacing w:val="26"/>
          <w:sz w:val="24"/>
        </w:rPr>
        <w:t> </w:t>
      </w:r>
      <w:r>
        <w:rPr>
          <w:sz w:val="24"/>
        </w:rPr>
        <w:t>material</w:t>
      </w:r>
      <w:r>
        <w:rPr>
          <w:spacing w:val="28"/>
          <w:sz w:val="24"/>
        </w:rPr>
        <w:t> </w:t>
      </w:r>
      <w:r>
        <w:rPr>
          <w:sz w:val="24"/>
        </w:rPr>
        <w:t>textil,</w:t>
      </w:r>
      <w:r>
        <w:rPr>
          <w:spacing w:val="27"/>
          <w:sz w:val="24"/>
        </w:rPr>
        <w:t> </w:t>
      </w:r>
      <w:r>
        <w:rPr>
          <w:sz w:val="24"/>
        </w:rPr>
        <w:t>tipo</w:t>
      </w:r>
      <w:r>
        <w:rPr>
          <w:spacing w:val="29"/>
          <w:sz w:val="24"/>
        </w:rPr>
        <w:t> </w:t>
      </w:r>
      <w:r>
        <w:rPr>
          <w:sz w:val="24"/>
        </w:rPr>
        <w:t>lona</w:t>
      </w:r>
      <w:r>
        <w:rPr>
          <w:spacing w:val="24"/>
          <w:sz w:val="24"/>
        </w:rPr>
        <w:t> </w:t>
      </w:r>
      <w:r>
        <w:rPr>
          <w:sz w:val="24"/>
        </w:rPr>
        <w:t>o</w:t>
      </w:r>
    </w:p>
    <w:p>
      <w:pPr>
        <w:spacing w:after="0" w:line="240" w:lineRule="auto"/>
        <w:jc w:val="both"/>
        <w:rPr>
          <w:sz w:val="24"/>
        </w:rPr>
        <w:sectPr>
          <w:pgSz w:w="11910" w:h="16840"/>
          <w:pgMar w:header="905" w:footer="0" w:top="2540" w:bottom="280" w:left="1200" w:right="1300"/>
        </w:sectPr>
      </w:pPr>
    </w:p>
    <w:p>
      <w:pPr>
        <w:pStyle w:val="BodyText"/>
        <w:spacing w:before="146"/>
        <w:ind w:left="218" w:right="119"/>
        <w:jc w:val="both"/>
      </w:pPr>
      <w:r>
        <w:rPr/>
        <w:t>similar. La altura de estos elementos no será inferior a 2,20 metros, medida esta altura hasta el borde inferior del faldón, si lo tuviere; la altura tampoco podrá ser superior a 3,50 metros o 1’50 metros por debajo del borde inferior de cualquier hueco existente en la fachada donde están colocados.</w:t>
      </w:r>
    </w:p>
    <w:p>
      <w:pPr>
        <w:pStyle w:val="BodyText"/>
      </w:pPr>
    </w:p>
    <w:p>
      <w:pPr>
        <w:pStyle w:val="BodyText"/>
        <w:ind w:left="218" w:right="119"/>
        <w:jc w:val="both"/>
      </w:pPr>
      <w:r>
        <w:rPr/>
        <w:t>La autorización de ocupación mediante toldo, estará condicionada a la aportación de documentación descriptiva de la instalación, debiendo contar, una vez instalada, con certificación que avale la estabilidad de la misma. No podrá superar perímetro de la superficie ocupada por mesas y sillas.</w:t>
      </w:r>
    </w:p>
    <w:p>
      <w:pPr>
        <w:pStyle w:val="BodyText"/>
        <w:spacing w:before="1"/>
      </w:pPr>
    </w:p>
    <w:p>
      <w:pPr>
        <w:pStyle w:val="BodyText"/>
        <w:ind w:left="218" w:right="121"/>
        <w:jc w:val="both"/>
      </w:pPr>
      <w:r>
        <w:rPr/>
        <w:t>Material y color: lona acrílica impermeable e ignífuga, color negro, gris oscuro, gris claro RAL 9005, RAL 7035, Pardo ocre RAL 8001, excepto ZONA PUERTO / ZONA AVD. DE</w:t>
      </w:r>
    </w:p>
    <w:p>
      <w:pPr>
        <w:pStyle w:val="BodyText"/>
        <w:ind w:left="218" w:right="121"/>
        <w:jc w:val="both"/>
      </w:pPr>
      <w:r>
        <w:rPr/>
        <w:t>VARADERO que será color azul RAL 5012. Estructura aluminio y/o acero, acabado metálico. Colocada únicamente como cubrición y no en los</w:t>
      </w:r>
      <w:r>
        <w:rPr>
          <w:spacing w:val="-2"/>
        </w:rPr>
        <w:t> </w:t>
      </w:r>
      <w:r>
        <w:rPr/>
        <w:t>laterales.</w:t>
      </w:r>
    </w:p>
    <w:p>
      <w:pPr>
        <w:pStyle w:val="BodyText"/>
      </w:pPr>
    </w:p>
    <w:p>
      <w:pPr>
        <w:pStyle w:val="ListParagraph"/>
        <w:numPr>
          <w:ilvl w:val="0"/>
          <w:numId w:val="5"/>
        </w:numPr>
        <w:tabs>
          <w:tab w:pos="519" w:val="left" w:leader="none"/>
        </w:tabs>
        <w:spacing w:line="240" w:lineRule="auto" w:before="0" w:after="0"/>
        <w:ind w:left="218" w:right="119" w:firstLine="0"/>
        <w:jc w:val="both"/>
        <w:rPr>
          <w:sz w:val="24"/>
        </w:rPr>
      </w:pPr>
      <w:r>
        <w:rPr>
          <w:b/>
          <w:sz w:val="24"/>
        </w:rPr>
        <w:t>Sombrillas: </w:t>
      </w:r>
      <w:r>
        <w:rPr>
          <w:sz w:val="24"/>
        </w:rPr>
        <w:t>retráctil y ligera para su fácil retirada. blanco o crudo RAL 9010. Material: Lona acrílica impermeable e ignífuga. Base adecuada para evitar su caída, o vuelco sin anclajes al suelo. Mástil de aluminio fundición de aluminio, madera u otro material de calidad superior. La altura libre mínima será de dos metros y veinte centímetros (2,20 m) y altura máxima de tres metros</w:t>
      </w:r>
      <w:r>
        <w:rPr>
          <w:spacing w:val="-3"/>
          <w:sz w:val="24"/>
        </w:rPr>
        <w:t> </w:t>
      </w:r>
      <w:r>
        <w:rPr>
          <w:sz w:val="24"/>
        </w:rPr>
        <w:t>(3,00m).</w:t>
      </w:r>
    </w:p>
    <w:p>
      <w:pPr>
        <w:pStyle w:val="BodyText"/>
      </w:pPr>
    </w:p>
    <w:p>
      <w:pPr>
        <w:pStyle w:val="ListParagraph"/>
        <w:numPr>
          <w:ilvl w:val="0"/>
          <w:numId w:val="7"/>
        </w:numPr>
        <w:tabs>
          <w:tab w:pos="488" w:val="left" w:leader="none"/>
        </w:tabs>
        <w:spacing w:line="240" w:lineRule="auto" w:before="0" w:after="0"/>
        <w:ind w:left="218" w:right="120" w:firstLine="0"/>
        <w:jc w:val="both"/>
        <w:rPr>
          <w:sz w:val="24"/>
        </w:rPr>
      </w:pPr>
      <w:r>
        <w:rPr>
          <w:sz w:val="24"/>
        </w:rPr>
        <w:t>Horarios de funcionamiento de las terrazas: el horario se establecerá en la resolución de otorgamiento de la autorización administrativa para la instalación de terraza, el cual será independiente del horario establecido para la actividad del establecimiento al que esté vinculada.</w:t>
      </w:r>
    </w:p>
    <w:p>
      <w:pPr>
        <w:pStyle w:val="BodyText"/>
        <w:spacing w:before="1"/>
      </w:pPr>
    </w:p>
    <w:p>
      <w:pPr>
        <w:pStyle w:val="ListParagraph"/>
        <w:numPr>
          <w:ilvl w:val="0"/>
          <w:numId w:val="7"/>
        </w:numPr>
        <w:tabs>
          <w:tab w:pos="606" w:val="left" w:leader="none"/>
        </w:tabs>
        <w:spacing w:line="240" w:lineRule="auto" w:before="0" w:after="0"/>
        <w:ind w:left="218" w:right="119" w:firstLine="0"/>
        <w:jc w:val="both"/>
        <w:rPr>
          <w:sz w:val="24"/>
        </w:rPr>
      </w:pPr>
      <w:r>
        <w:rPr>
          <w:sz w:val="24"/>
        </w:rPr>
        <w:t>Podrá denegarse la instalación de terrazas en suelo de uso público, mediante resolución </w:t>
      </w:r>
      <w:r>
        <w:rPr>
          <w:b/>
          <w:sz w:val="24"/>
        </w:rPr>
        <w:t>motivada</w:t>
      </w:r>
      <w:r>
        <w:rPr>
          <w:sz w:val="24"/>
        </w:rPr>
        <w:t>, por razones de afectación negativa a la convivencia ciudadana, con especial referencia al derecho al descanso de los ciudadanos. Se podrá denegar la instalación de terrazas en espacios donde la situación ambiental, como el exceso de humos, el tránsito intenso y frecuente de peatones, la excesiva pendiente del espacio urbano o cualquier otra circunstancia similar, desaconseje la implantación de este tipo de</w:t>
      </w:r>
      <w:r>
        <w:rPr>
          <w:spacing w:val="-4"/>
          <w:sz w:val="24"/>
        </w:rPr>
        <w:t> </w:t>
      </w:r>
      <w:r>
        <w:rPr>
          <w:sz w:val="24"/>
        </w:rPr>
        <w:t>instalaciones.</w:t>
      </w:r>
    </w:p>
    <w:p>
      <w:pPr>
        <w:pStyle w:val="BodyText"/>
      </w:pPr>
    </w:p>
    <w:p>
      <w:pPr>
        <w:pStyle w:val="ListParagraph"/>
        <w:numPr>
          <w:ilvl w:val="0"/>
          <w:numId w:val="7"/>
        </w:numPr>
        <w:tabs>
          <w:tab w:pos="579" w:val="left" w:leader="none"/>
        </w:tabs>
        <w:spacing w:line="240" w:lineRule="auto" w:before="0" w:after="0"/>
        <w:ind w:left="578" w:right="0" w:hanging="361"/>
        <w:jc w:val="both"/>
        <w:rPr>
          <w:sz w:val="24"/>
        </w:rPr>
      </w:pPr>
      <w:r>
        <w:rPr>
          <w:sz w:val="24"/>
        </w:rPr>
        <w:t>Señalización de los límites de las</w:t>
      </w:r>
      <w:r>
        <w:rPr>
          <w:spacing w:val="-3"/>
          <w:sz w:val="24"/>
        </w:rPr>
        <w:t> </w:t>
      </w:r>
      <w:r>
        <w:rPr>
          <w:sz w:val="24"/>
        </w:rPr>
        <w:t>ocupaciones:</w:t>
      </w:r>
    </w:p>
    <w:p>
      <w:pPr>
        <w:pStyle w:val="BodyText"/>
      </w:pPr>
    </w:p>
    <w:p>
      <w:pPr>
        <w:pStyle w:val="ListParagraph"/>
        <w:numPr>
          <w:ilvl w:val="0"/>
          <w:numId w:val="8"/>
        </w:numPr>
        <w:tabs>
          <w:tab w:pos="481" w:val="left" w:leader="none"/>
        </w:tabs>
        <w:spacing w:line="240" w:lineRule="auto" w:before="0" w:after="0"/>
        <w:ind w:left="218" w:right="120" w:firstLine="0"/>
        <w:jc w:val="both"/>
        <w:rPr>
          <w:sz w:val="24"/>
        </w:rPr>
      </w:pPr>
      <w:r>
        <w:rPr>
          <w:sz w:val="24"/>
        </w:rPr>
        <w:t>La superficie autorizada para la instalación de la terraza deberá marcarse en el pavimento del espacio público, con el sistema o elementos que se determine por los servicios técnicos municipales.</w:t>
      </w:r>
    </w:p>
    <w:p>
      <w:pPr>
        <w:pStyle w:val="ListParagraph"/>
        <w:numPr>
          <w:ilvl w:val="0"/>
          <w:numId w:val="8"/>
        </w:numPr>
        <w:tabs>
          <w:tab w:pos="502" w:val="left" w:leader="none"/>
        </w:tabs>
        <w:spacing w:line="240" w:lineRule="auto" w:before="1" w:after="0"/>
        <w:ind w:left="218" w:right="121" w:firstLine="0"/>
        <w:jc w:val="both"/>
        <w:rPr>
          <w:sz w:val="24"/>
        </w:rPr>
      </w:pPr>
      <w:r>
        <w:rPr>
          <w:sz w:val="24"/>
        </w:rPr>
        <w:t>Deberán señalizarse las esquinas, los cambios de dirección y las delimitaciones rectas en tramos repartidos proporcionalmente según se determine en la correspondiente</w:t>
      </w:r>
      <w:r>
        <w:rPr>
          <w:spacing w:val="-8"/>
          <w:sz w:val="24"/>
        </w:rPr>
        <w:t> </w:t>
      </w:r>
      <w:r>
        <w:rPr>
          <w:sz w:val="24"/>
        </w:rPr>
        <w:t>autorización.</w:t>
      </w:r>
    </w:p>
    <w:p>
      <w:pPr>
        <w:pStyle w:val="ListParagraph"/>
        <w:numPr>
          <w:ilvl w:val="0"/>
          <w:numId w:val="8"/>
        </w:numPr>
        <w:tabs>
          <w:tab w:pos="510" w:val="left" w:leader="none"/>
        </w:tabs>
        <w:spacing w:line="240" w:lineRule="auto" w:before="0" w:after="0"/>
        <w:ind w:left="218" w:right="121" w:firstLine="0"/>
        <w:jc w:val="both"/>
        <w:rPr>
          <w:sz w:val="24"/>
        </w:rPr>
      </w:pPr>
      <w:r>
        <w:rPr>
          <w:sz w:val="24"/>
        </w:rPr>
        <w:t>Al objeto de facilitar las actuaciones de control e inspección del dominio público, los servicios técnicos municipales señalizarán mediante el establecimiento de marcas puntuales en los vértices del espacio de ocupación autorizado, realizadas con clavos o piezas metálicas similares incrustados en el</w:t>
      </w:r>
      <w:r>
        <w:rPr>
          <w:spacing w:val="1"/>
          <w:sz w:val="24"/>
        </w:rPr>
        <w:t> </w:t>
      </w:r>
      <w:r>
        <w:rPr>
          <w:sz w:val="24"/>
        </w:rPr>
        <w:t>pavimento.</w:t>
      </w:r>
    </w:p>
    <w:p>
      <w:pPr>
        <w:spacing w:after="0" w:line="240" w:lineRule="auto"/>
        <w:jc w:val="both"/>
        <w:rPr>
          <w:sz w:val="24"/>
        </w:rPr>
        <w:sectPr>
          <w:pgSz w:w="11910" w:h="16840"/>
          <w:pgMar w:header="905" w:footer="0" w:top="2540" w:bottom="280" w:left="1200" w:right="1300"/>
        </w:sectPr>
      </w:pPr>
    </w:p>
    <w:p>
      <w:pPr>
        <w:pStyle w:val="ListParagraph"/>
        <w:numPr>
          <w:ilvl w:val="0"/>
          <w:numId w:val="8"/>
        </w:numPr>
        <w:tabs>
          <w:tab w:pos="505" w:val="left" w:leader="none"/>
        </w:tabs>
        <w:spacing w:line="240" w:lineRule="auto" w:before="146" w:after="0"/>
        <w:ind w:left="218" w:right="122" w:firstLine="0"/>
        <w:jc w:val="both"/>
        <w:rPr>
          <w:sz w:val="24"/>
        </w:rPr>
      </w:pPr>
      <w:r>
        <w:rPr>
          <w:sz w:val="24"/>
        </w:rPr>
        <w:t>Será obligación de la persona o entidad titular de la autorización, durante la vigencia de ésta, realizar el mantenimiento de la señalización regulada en el presente artículo, para que los límites del espacio autorizado permanezcan claramente</w:t>
      </w:r>
      <w:r>
        <w:rPr>
          <w:spacing w:val="-1"/>
          <w:sz w:val="24"/>
        </w:rPr>
        <w:t> </w:t>
      </w:r>
      <w:r>
        <w:rPr>
          <w:sz w:val="24"/>
        </w:rPr>
        <w:t>visibles.</w:t>
      </w:r>
    </w:p>
    <w:p>
      <w:pPr>
        <w:pStyle w:val="BodyText"/>
      </w:pPr>
    </w:p>
    <w:p>
      <w:pPr>
        <w:pStyle w:val="BodyText"/>
        <w:ind w:left="218" w:right="115"/>
        <w:jc w:val="both"/>
      </w:pPr>
      <w:r>
        <w:rPr/>
        <w:t>12.- Excepcionalmente, en calles o tramos de calles en que las aceras no reúnan los requisitos mínimos establecidos en los apartados anteriores para la instalación de terrazas y en los que la demanda de establecimientos para la instalación de terrazas sea significativa, por los servicios municipales se podrá valorar la oportunidad de disponer terrazas en la calzada, </w:t>
      </w:r>
      <w:r>
        <w:rPr>
          <w:b/>
        </w:rPr>
        <w:t>previo informe de viabilidad por parte de los servicios municipales</w:t>
      </w:r>
      <w:r>
        <w:rPr/>
        <w:t>, atendiendo a las características específicas de la vía como pueden ser la intensidad del tráfico, la conveniencia de reducción de plazas de aparcamiento, garantía en la prestación de los servicios urbanos y cualquier otra circunstancia de interés público.</w:t>
      </w:r>
    </w:p>
    <w:p>
      <w:pPr>
        <w:pStyle w:val="BodyText"/>
        <w:spacing w:before="1"/>
      </w:pPr>
    </w:p>
    <w:p>
      <w:pPr>
        <w:pStyle w:val="BodyText"/>
        <w:ind w:left="218" w:right="120"/>
        <w:jc w:val="both"/>
      </w:pPr>
      <w:r>
        <w:rPr/>
        <w:t>En ningún caso se autorizará la instalación de una terraza cuando suponga cualquier tipo de alteración en la configuración del viario público (ampliación de aceras, supresión de plazas de aparcamiento, etc.) sin el corresponde informe de viabilidad por parte de los servicios municipales.</w:t>
      </w:r>
    </w:p>
    <w:p>
      <w:pPr>
        <w:pStyle w:val="BodyText"/>
      </w:pPr>
    </w:p>
    <w:p>
      <w:pPr>
        <w:pStyle w:val="ListParagraph"/>
        <w:numPr>
          <w:ilvl w:val="0"/>
          <w:numId w:val="9"/>
        </w:numPr>
        <w:tabs>
          <w:tab w:pos="495" w:val="left" w:leader="none"/>
        </w:tabs>
        <w:spacing w:line="240" w:lineRule="auto" w:before="0" w:after="0"/>
        <w:ind w:left="218" w:right="119" w:firstLine="0"/>
        <w:jc w:val="both"/>
        <w:rPr>
          <w:sz w:val="24"/>
        </w:rPr>
      </w:pPr>
      <w:r>
        <w:rPr>
          <w:sz w:val="24"/>
        </w:rPr>
        <w:t>Se deberá delimitar el área destinada a terraza de la calzada mediante protección contra caídas: barandillas. Se deberá instalar barandilla de esta tipología o similar. Debiendo cumplir normativa</w:t>
      </w:r>
      <w:r>
        <w:rPr>
          <w:spacing w:val="-2"/>
          <w:sz w:val="24"/>
        </w:rPr>
        <w:t> </w:t>
      </w:r>
      <w:r>
        <w:rPr>
          <w:sz w:val="24"/>
        </w:rPr>
        <w:t>vigente.</w:t>
      </w:r>
    </w:p>
    <w:p>
      <w:pPr>
        <w:pStyle w:val="BodyText"/>
        <w:spacing w:before="5"/>
        <w:rPr>
          <w:sz w:val="28"/>
        </w:rPr>
      </w:pPr>
      <w:r>
        <w:rPr/>
        <w:drawing>
          <wp:anchor distT="0" distB="0" distL="0" distR="0" allowOverlap="1" layoutInCell="1" locked="0" behindDoc="0" simplePos="0" relativeHeight="0">
            <wp:simplePos x="0" y="0"/>
            <wp:positionH relativeFrom="page">
              <wp:posOffset>2113914</wp:posOffset>
            </wp:positionH>
            <wp:positionV relativeFrom="paragraph">
              <wp:posOffset>232995</wp:posOffset>
            </wp:positionV>
            <wp:extent cx="3257953" cy="2514600"/>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257953" cy="2514600"/>
                    </a:xfrm>
                    <a:prstGeom prst="rect">
                      <a:avLst/>
                    </a:prstGeom>
                  </pic:spPr>
                </pic:pic>
              </a:graphicData>
            </a:graphic>
          </wp:anchor>
        </w:drawing>
      </w:r>
    </w:p>
    <w:p>
      <w:pPr>
        <w:pStyle w:val="BodyText"/>
        <w:rPr>
          <w:sz w:val="26"/>
        </w:rPr>
      </w:pPr>
    </w:p>
    <w:p>
      <w:pPr>
        <w:pStyle w:val="BodyText"/>
        <w:rPr>
          <w:sz w:val="26"/>
        </w:rPr>
      </w:pPr>
    </w:p>
    <w:p>
      <w:pPr>
        <w:pStyle w:val="BodyText"/>
        <w:spacing w:before="3"/>
        <w:rPr>
          <w:sz w:val="29"/>
        </w:rPr>
      </w:pPr>
    </w:p>
    <w:p>
      <w:pPr>
        <w:pStyle w:val="ListParagraph"/>
        <w:numPr>
          <w:ilvl w:val="0"/>
          <w:numId w:val="9"/>
        </w:numPr>
        <w:tabs>
          <w:tab w:pos="579" w:val="left" w:leader="none"/>
        </w:tabs>
        <w:spacing w:line="240" w:lineRule="auto" w:before="1" w:after="0"/>
        <w:ind w:left="218" w:right="120" w:firstLine="0"/>
        <w:jc w:val="both"/>
        <w:rPr>
          <w:sz w:val="24"/>
        </w:rPr>
      </w:pPr>
      <w:r>
        <w:rPr>
          <w:sz w:val="24"/>
        </w:rPr>
        <w:t>La superficie máxima de ocupación no será superior a 30 metros cuadrados (3 aparcamiento en línea / 5 aparcamiento en batería aproximadamente), sin perjuicio del límite establecido por su propia fachada. (según apartado</w:t>
      </w:r>
      <w:r>
        <w:rPr>
          <w:spacing w:val="3"/>
          <w:sz w:val="24"/>
        </w:rPr>
        <w:t> </w:t>
      </w:r>
      <w:r>
        <w:rPr>
          <w:sz w:val="24"/>
        </w:rPr>
        <w:t>12.13.m)</w:t>
      </w:r>
    </w:p>
    <w:p>
      <w:pPr>
        <w:spacing w:after="0" w:line="240" w:lineRule="auto"/>
        <w:jc w:val="both"/>
        <w:rPr>
          <w:sz w:val="24"/>
        </w:rPr>
        <w:sectPr>
          <w:pgSz w:w="11910" w:h="16840"/>
          <w:pgMar w:header="905" w:footer="0" w:top="2540" w:bottom="280" w:left="1200" w:right="1300"/>
        </w:sectPr>
      </w:pPr>
    </w:p>
    <w:p>
      <w:pPr>
        <w:pStyle w:val="ListParagraph"/>
        <w:numPr>
          <w:ilvl w:val="0"/>
          <w:numId w:val="9"/>
        </w:numPr>
        <w:tabs>
          <w:tab w:pos="546" w:val="left" w:leader="none"/>
        </w:tabs>
        <w:spacing w:line="240" w:lineRule="auto" w:before="146" w:after="0"/>
        <w:ind w:left="218" w:right="123" w:firstLine="0"/>
        <w:jc w:val="both"/>
        <w:rPr>
          <w:sz w:val="24"/>
        </w:rPr>
      </w:pPr>
      <w:r>
        <w:rPr>
          <w:sz w:val="24"/>
        </w:rPr>
        <w:t>Sobre el asfalto se superpondrá pavimento de acera rematado perimetralmente con bordillos. El tipo de pavimento deberá ser propuesto o aprobado por los servicios municipales. Nunca se permitirá tarima de</w:t>
      </w:r>
      <w:r>
        <w:rPr>
          <w:spacing w:val="-7"/>
          <w:sz w:val="24"/>
        </w:rPr>
        <w:t> </w:t>
      </w:r>
      <w:r>
        <w:rPr>
          <w:sz w:val="24"/>
        </w:rPr>
        <w:t>madera.</w:t>
      </w:r>
    </w:p>
    <w:p>
      <w:pPr>
        <w:pStyle w:val="BodyText"/>
      </w:pPr>
    </w:p>
    <w:p>
      <w:pPr>
        <w:pStyle w:val="ListParagraph"/>
        <w:numPr>
          <w:ilvl w:val="0"/>
          <w:numId w:val="9"/>
        </w:numPr>
        <w:tabs>
          <w:tab w:pos="507" w:val="left" w:leader="none"/>
        </w:tabs>
        <w:spacing w:line="240" w:lineRule="auto" w:before="0" w:after="0"/>
        <w:ind w:left="218" w:right="117" w:firstLine="0"/>
        <w:jc w:val="both"/>
        <w:rPr>
          <w:sz w:val="24"/>
        </w:rPr>
      </w:pPr>
      <w:r>
        <w:rPr>
          <w:sz w:val="24"/>
        </w:rPr>
        <w:t>Todas aquellas obras necesarias para la realización de ampliación de aceras, barandillas, etc…, serán por cuenta del peticionario de las ocupaciones con mesas y sillas en calzada sobre aparcamientos.</w:t>
      </w:r>
    </w:p>
    <w:p>
      <w:pPr>
        <w:pStyle w:val="BodyText"/>
      </w:pPr>
    </w:p>
    <w:p>
      <w:pPr>
        <w:pStyle w:val="BodyText"/>
        <w:ind w:left="218"/>
      </w:pPr>
      <w:r>
        <w:rPr/>
        <w:t>13.- No se permitirá:</w:t>
      </w:r>
    </w:p>
    <w:p>
      <w:pPr>
        <w:pStyle w:val="BodyText"/>
        <w:spacing w:before="1"/>
      </w:pPr>
    </w:p>
    <w:p>
      <w:pPr>
        <w:pStyle w:val="ListParagraph"/>
        <w:numPr>
          <w:ilvl w:val="0"/>
          <w:numId w:val="10"/>
        </w:numPr>
        <w:tabs>
          <w:tab w:pos="474" w:val="left" w:leader="none"/>
        </w:tabs>
        <w:spacing w:line="240" w:lineRule="auto" w:before="0" w:after="0"/>
        <w:ind w:left="218" w:right="121" w:firstLine="0"/>
        <w:jc w:val="both"/>
        <w:rPr>
          <w:sz w:val="24"/>
        </w:rPr>
      </w:pPr>
      <w:r>
        <w:rPr>
          <w:sz w:val="24"/>
        </w:rPr>
        <w:t>La instalación de elementos en el dominio público que representen real o potencial peligro para viandantes o</w:t>
      </w:r>
      <w:r>
        <w:rPr>
          <w:spacing w:val="-3"/>
          <w:sz w:val="24"/>
        </w:rPr>
        <w:t> </w:t>
      </w:r>
      <w:r>
        <w:rPr>
          <w:sz w:val="24"/>
        </w:rPr>
        <w:t>usuarios.</w:t>
      </w:r>
    </w:p>
    <w:p>
      <w:pPr>
        <w:pStyle w:val="BodyText"/>
      </w:pPr>
    </w:p>
    <w:p>
      <w:pPr>
        <w:pStyle w:val="ListParagraph"/>
        <w:numPr>
          <w:ilvl w:val="0"/>
          <w:numId w:val="10"/>
        </w:numPr>
        <w:tabs>
          <w:tab w:pos="481" w:val="left" w:leader="none"/>
        </w:tabs>
        <w:spacing w:line="240" w:lineRule="auto" w:before="0" w:after="0"/>
        <w:ind w:left="480" w:right="0" w:hanging="263"/>
        <w:jc w:val="both"/>
        <w:rPr>
          <w:sz w:val="24"/>
        </w:rPr>
      </w:pPr>
      <w:r>
        <w:rPr>
          <w:sz w:val="24"/>
        </w:rPr>
        <w:t>Invadir el frente de otro local comercial o</w:t>
      </w:r>
      <w:r>
        <w:rPr>
          <w:spacing w:val="-1"/>
          <w:sz w:val="24"/>
        </w:rPr>
        <w:t> </w:t>
      </w:r>
      <w:r>
        <w:rPr>
          <w:sz w:val="24"/>
        </w:rPr>
        <w:t>propiedad.</w:t>
      </w:r>
    </w:p>
    <w:p>
      <w:pPr>
        <w:pStyle w:val="BodyText"/>
      </w:pPr>
    </w:p>
    <w:p>
      <w:pPr>
        <w:pStyle w:val="ListParagraph"/>
        <w:numPr>
          <w:ilvl w:val="0"/>
          <w:numId w:val="10"/>
        </w:numPr>
        <w:tabs>
          <w:tab w:pos="471" w:val="left" w:leader="none"/>
        </w:tabs>
        <w:spacing w:line="240" w:lineRule="auto" w:before="0" w:after="0"/>
        <w:ind w:left="218" w:right="121" w:firstLine="0"/>
        <w:jc w:val="both"/>
        <w:rPr>
          <w:sz w:val="24"/>
        </w:rPr>
      </w:pPr>
      <w:r>
        <w:rPr>
          <w:sz w:val="24"/>
        </w:rPr>
        <w:t>Que el mobiliario y los elementos que se dispongan para la ocupación supere, en subsuelo, suelo ni vuelo, los límites del espacio autorizado, que debe señalizarse de conformidad con lo dispuesto en esta</w:t>
      </w:r>
      <w:r>
        <w:rPr>
          <w:spacing w:val="-1"/>
          <w:sz w:val="24"/>
        </w:rPr>
        <w:t> </w:t>
      </w:r>
      <w:r>
        <w:rPr>
          <w:sz w:val="24"/>
        </w:rPr>
        <w:t>ordenanza.</w:t>
      </w:r>
    </w:p>
    <w:p>
      <w:pPr>
        <w:pStyle w:val="BodyText"/>
      </w:pPr>
    </w:p>
    <w:p>
      <w:pPr>
        <w:pStyle w:val="ListParagraph"/>
        <w:numPr>
          <w:ilvl w:val="0"/>
          <w:numId w:val="10"/>
        </w:numPr>
        <w:tabs>
          <w:tab w:pos="479" w:val="left" w:leader="none"/>
        </w:tabs>
        <w:spacing w:line="240" w:lineRule="auto" w:before="0" w:after="0"/>
        <w:ind w:left="478" w:right="0" w:hanging="261"/>
        <w:jc w:val="both"/>
        <w:rPr>
          <w:sz w:val="24"/>
        </w:rPr>
      </w:pPr>
      <w:r>
        <w:rPr>
          <w:sz w:val="24"/>
        </w:rPr>
        <w:t>La instalación de terrazas cubiertas en zonas de dominio</w:t>
      </w:r>
      <w:r>
        <w:rPr>
          <w:spacing w:val="-2"/>
          <w:sz w:val="24"/>
        </w:rPr>
        <w:t> </w:t>
      </w:r>
      <w:r>
        <w:rPr>
          <w:sz w:val="24"/>
        </w:rPr>
        <w:t>público.</w:t>
      </w:r>
    </w:p>
    <w:p>
      <w:pPr>
        <w:pStyle w:val="BodyText"/>
      </w:pPr>
    </w:p>
    <w:p>
      <w:pPr>
        <w:pStyle w:val="ListParagraph"/>
        <w:numPr>
          <w:ilvl w:val="0"/>
          <w:numId w:val="10"/>
        </w:numPr>
        <w:tabs>
          <w:tab w:pos="481" w:val="left" w:leader="none"/>
        </w:tabs>
        <w:spacing w:line="240" w:lineRule="auto" w:before="0" w:after="0"/>
        <w:ind w:left="218" w:right="121" w:firstLine="0"/>
        <w:jc w:val="both"/>
        <w:rPr>
          <w:sz w:val="24"/>
        </w:rPr>
      </w:pPr>
      <w:r>
        <w:rPr>
          <w:sz w:val="24"/>
        </w:rPr>
        <w:t>El cerramiento vertical del perímetro de las zonas ocupadas. No se permiten mamparas ni biombos.</w:t>
      </w:r>
    </w:p>
    <w:p>
      <w:pPr>
        <w:pStyle w:val="BodyText"/>
        <w:spacing w:before="1"/>
      </w:pPr>
    </w:p>
    <w:p>
      <w:pPr>
        <w:pStyle w:val="ListParagraph"/>
        <w:numPr>
          <w:ilvl w:val="0"/>
          <w:numId w:val="10"/>
        </w:numPr>
        <w:tabs>
          <w:tab w:pos="457" w:val="left" w:leader="none"/>
        </w:tabs>
        <w:spacing w:line="240" w:lineRule="auto" w:before="0" w:after="0"/>
        <w:ind w:left="218" w:right="120" w:firstLine="0"/>
        <w:jc w:val="both"/>
        <w:rPr>
          <w:sz w:val="24"/>
        </w:rPr>
      </w:pPr>
      <w:r>
        <w:rPr>
          <w:sz w:val="24"/>
        </w:rPr>
        <w:t>La instalación de mostradores u otros elementos para el servicio de la terraza, que deberá ser atendida desde el propio establecimiento; prohibiéndose expresamente las barbacoas, carritos de elaboración de comidas, expositores de alimentos, frigoríficos, barras o bares, aparatos de cocción, juegos recreativos (billares, futbolines,</w:t>
      </w:r>
      <w:r>
        <w:rPr>
          <w:spacing w:val="-1"/>
          <w:sz w:val="24"/>
        </w:rPr>
        <w:t> </w:t>
      </w:r>
      <w:r>
        <w:rPr>
          <w:sz w:val="24"/>
        </w:rPr>
        <w:t>etc.).</w:t>
      </w:r>
    </w:p>
    <w:p>
      <w:pPr>
        <w:pStyle w:val="BodyText"/>
      </w:pPr>
    </w:p>
    <w:p>
      <w:pPr>
        <w:pStyle w:val="ListParagraph"/>
        <w:numPr>
          <w:ilvl w:val="0"/>
          <w:numId w:val="10"/>
        </w:numPr>
        <w:tabs>
          <w:tab w:pos="498" w:val="left" w:leader="none"/>
        </w:tabs>
        <w:spacing w:line="240" w:lineRule="auto" w:before="0" w:after="0"/>
        <w:ind w:left="218" w:right="118" w:firstLine="0"/>
        <w:jc w:val="both"/>
        <w:rPr>
          <w:sz w:val="24"/>
        </w:rPr>
      </w:pPr>
      <w:r>
        <w:rPr>
          <w:sz w:val="24"/>
        </w:rPr>
        <w:t>La colocación de carteles, trípodes, y cualquier otro elemento que no sean los descritos y autorizados por la presente ordenanza</w:t>
      </w:r>
      <w:r>
        <w:rPr>
          <w:color w:val="1F3863"/>
          <w:sz w:val="24"/>
        </w:rPr>
        <w:t>, </w:t>
      </w:r>
      <w:r>
        <w:rPr>
          <w:sz w:val="24"/>
        </w:rPr>
        <w:t>en las zonas donde se ubique las terrazas u otros elementos.</w:t>
      </w:r>
    </w:p>
    <w:p>
      <w:pPr>
        <w:pStyle w:val="BodyText"/>
      </w:pPr>
    </w:p>
    <w:p>
      <w:pPr>
        <w:pStyle w:val="ListParagraph"/>
        <w:numPr>
          <w:ilvl w:val="0"/>
          <w:numId w:val="10"/>
        </w:numPr>
        <w:tabs>
          <w:tab w:pos="536" w:val="left" w:leader="none"/>
        </w:tabs>
        <w:spacing w:line="240" w:lineRule="auto" w:before="0" w:after="0"/>
        <w:ind w:left="218" w:right="124" w:firstLine="0"/>
        <w:jc w:val="both"/>
        <w:rPr>
          <w:sz w:val="24"/>
        </w:rPr>
      </w:pPr>
      <w:r>
        <w:rPr>
          <w:sz w:val="24"/>
        </w:rPr>
        <w:t>La instalación de aparatos reproductores de imagen o sonido, así como de máquinas recreativas de cualquier tipo, máquinas expendedoras de bebida o</w:t>
      </w:r>
      <w:r>
        <w:rPr>
          <w:spacing w:val="-4"/>
          <w:sz w:val="24"/>
        </w:rPr>
        <w:t> </w:t>
      </w:r>
      <w:r>
        <w:rPr>
          <w:sz w:val="24"/>
        </w:rPr>
        <w:t>comida.</w:t>
      </w:r>
    </w:p>
    <w:p>
      <w:pPr>
        <w:pStyle w:val="BodyText"/>
      </w:pPr>
    </w:p>
    <w:p>
      <w:pPr>
        <w:pStyle w:val="ListParagraph"/>
        <w:numPr>
          <w:ilvl w:val="0"/>
          <w:numId w:val="10"/>
        </w:numPr>
        <w:tabs>
          <w:tab w:pos="464" w:val="left" w:leader="none"/>
        </w:tabs>
        <w:spacing w:line="240" w:lineRule="auto" w:before="0" w:after="0"/>
        <w:ind w:left="218" w:right="118" w:firstLine="0"/>
        <w:jc w:val="both"/>
        <w:rPr>
          <w:sz w:val="24"/>
        </w:rPr>
      </w:pPr>
      <w:r>
        <w:rPr>
          <w:sz w:val="24"/>
        </w:rPr>
        <w:t>La realización de cualquier orificio en la vía pública para anclaje de los elementos que forman la terraza. Están prohibidos todos aquellos elementos que para su colocación conlleven la realización de obras u otras instalaciones, incluyendo las eléctricas, no permitiéndose el cableado</w:t>
      </w:r>
      <w:r>
        <w:rPr>
          <w:spacing w:val="-2"/>
          <w:sz w:val="24"/>
        </w:rPr>
        <w:t> </w:t>
      </w:r>
      <w:r>
        <w:rPr>
          <w:sz w:val="24"/>
        </w:rPr>
        <w:t>eléctrico.</w:t>
      </w:r>
    </w:p>
    <w:p>
      <w:pPr>
        <w:pStyle w:val="BodyText"/>
        <w:spacing w:before="1"/>
      </w:pPr>
    </w:p>
    <w:p>
      <w:pPr>
        <w:pStyle w:val="ListParagraph"/>
        <w:numPr>
          <w:ilvl w:val="0"/>
          <w:numId w:val="10"/>
        </w:numPr>
        <w:tabs>
          <w:tab w:pos="426" w:val="left" w:leader="none"/>
        </w:tabs>
        <w:spacing w:line="240" w:lineRule="auto" w:before="0" w:after="0"/>
        <w:ind w:left="425" w:right="0" w:hanging="208"/>
        <w:jc w:val="both"/>
        <w:rPr>
          <w:sz w:val="24"/>
        </w:rPr>
      </w:pPr>
      <w:r>
        <w:rPr>
          <w:sz w:val="24"/>
        </w:rPr>
        <w:t>La utilización de cualquier elemento de mobiliario de la terraza como soporte</w:t>
      </w:r>
      <w:r>
        <w:rPr>
          <w:spacing w:val="-13"/>
          <w:sz w:val="24"/>
        </w:rPr>
        <w:t> </w:t>
      </w:r>
      <w:r>
        <w:rPr>
          <w:sz w:val="24"/>
        </w:rPr>
        <w:t>publicitario.</w:t>
      </w:r>
    </w:p>
    <w:p>
      <w:pPr>
        <w:pStyle w:val="BodyText"/>
      </w:pPr>
    </w:p>
    <w:p>
      <w:pPr>
        <w:pStyle w:val="ListParagraph"/>
        <w:numPr>
          <w:ilvl w:val="0"/>
          <w:numId w:val="10"/>
        </w:numPr>
        <w:tabs>
          <w:tab w:pos="507" w:val="left" w:leader="none"/>
        </w:tabs>
        <w:spacing w:line="240" w:lineRule="auto" w:before="0" w:after="0"/>
        <w:ind w:left="218" w:right="120" w:firstLine="0"/>
        <w:jc w:val="both"/>
        <w:rPr>
          <w:sz w:val="24"/>
        </w:rPr>
      </w:pPr>
      <w:r>
        <w:rPr>
          <w:sz w:val="24"/>
        </w:rPr>
        <w:t>La instalación en espacios donde la situación ambiental, el exceso de humos, el tránsito intenso y frecuencia de peatones, la excesiva pendiente del espacio urbano o cualquier otra circunstancia similar, desaconseje la implantación de este tipo de</w:t>
      </w:r>
      <w:r>
        <w:rPr>
          <w:spacing w:val="-4"/>
          <w:sz w:val="24"/>
        </w:rPr>
        <w:t> </w:t>
      </w:r>
      <w:r>
        <w:rPr>
          <w:sz w:val="24"/>
        </w:rPr>
        <w:t>instalaciones.</w:t>
      </w:r>
    </w:p>
    <w:p>
      <w:pPr>
        <w:spacing w:after="0" w:line="240" w:lineRule="auto"/>
        <w:jc w:val="both"/>
        <w:rPr>
          <w:sz w:val="24"/>
        </w:rPr>
        <w:sectPr>
          <w:pgSz w:w="11910" w:h="16840"/>
          <w:pgMar w:header="905" w:footer="0" w:top="2540" w:bottom="280" w:left="1200" w:right="1300"/>
        </w:sectPr>
      </w:pPr>
    </w:p>
    <w:p>
      <w:pPr>
        <w:pStyle w:val="BodyText"/>
        <w:spacing w:before="10"/>
        <w:rPr>
          <w:sz w:val="28"/>
        </w:rPr>
      </w:pPr>
    </w:p>
    <w:p>
      <w:pPr>
        <w:pStyle w:val="ListParagraph"/>
        <w:numPr>
          <w:ilvl w:val="0"/>
          <w:numId w:val="10"/>
        </w:numPr>
        <w:tabs>
          <w:tab w:pos="466" w:val="left" w:leader="none"/>
        </w:tabs>
        <w:spacing w:line="240" w:lineRule="auto" w:before="90" w:after="0"/>
        <w:ind w:left="218" w:right="120" w:firstLine="0"/>
        <w:jc w:val="both"/>
        <w:rPr>
          <w:sz w:val="24"/>
        </w:rPr>
      </w:pPr>
      <w:r>
        <w:rPr>
          <w:sz w:val="24"/>
        </w:rPr>
        <w:t>La ocupación cuando se derive peligro para la seguridad de las personas y bienes o se interrumpa la evacuación del local propio o de los</w:t>
      </w:r>
      <w:r>
        <w:rPr>
          <w:spacing w:val="1"/>
          <w:sz w:val="24"/>
        </w:rPr>
        <w:t> </w:t>
      </w:r>
      <w:r>
        <w:rPr>
          <w:sz w:val="24"/>
        </w:rPr>
        <w:t>colindantes.</w:t>
      </w:r>
    </w:p>
    <w:p>
      <w:pPr>
        <w:pStyle w:val="BodyText"/>
      </w:pPr>
    </w:p>
    <w:p>
      <w:pPr>
        <w:pStyle w:val="ListParagraph"/>
        <w:numPr>
          <w:ilvl w:val="0"/>
          <w:numId w:val="10"/>
        </w:numPr>
        <w:tabs>
          <w:tab w:pos="608" w:val="left" w:leader="none"/>
        </w:tabs>
        <w:spacing w:line="240" w:lineRule="auto" w:before="0" w:after="0"/>
        <w:ind w:left="218" w:right="121" w:firstLine="0"/>
        <w:jc w:val="both"/>
        <w:rPr>
          <w:sz w:val="24"/>
        </w:rPr>
      </w:pPr>
      <w:r>
        <w:rPr>
          <w:sz w:val="24"/>
        </w:rPr>
        <w:t>No se podrán instalar las mesas y sillas excediendo el espacio comprendido por la proyección de la línea de fachada del establecimiento. En ningún caso se autorizará la instalación de mesas en paradas de guaguas, paradas de taxis, paso de peatones, vados, entradas a viviendas, ni en aquellos lugares en los que se impida la visión de señales de tráfico, aunque la anchura de la acera lo</w:t>
      </w:r>
      <w:r>
        <w:rPr>
          <w:spacing w:val="-5"/>
          <w:sz w:val="24"/>
        </w:rPr>
        <w:t> </w:t>
      </w:r>
      <w:r>
        <w:rPr>
          <w:sz w:val="24"/>
        </w:rPr>
        <w:t>permita.</w:t>
      </w:r>
    </w:p>
    <w:p>
      <w:pPr>
        <w:pStyle w:val="BodyText"/>
        <w:spacing w:before="1"/>
      </w:pPr>
    </w:p>
    <w:p>
      <w:pPr>
        <w:pStyle w:val="ListParagraph"/>
        <w:numPr>
          <w:ilvl w:val="0"/>
          <w:numId w:val="10"/>
        </w:numPr>
        <w:tabs>
          <w:tab w:pos="586" w:val="left" w:leader="none"/>
        </w:tabs>
        <w:spacing w:line="240" w:lineRule="auto" w:before="0" w:after="0"/>
        <w:ind w:left="218" w:right="123" w:firstLine="0"/>
        <w:jc w:val="both"/>
        <w:rPr>
          <w:sz w:val="24"/>
        </w:rPr>
      </w:pPr>
      <w:r>
        <w:rPr>
          <w:sz w:val="24"/>
        </w:rPr>
        <w:t>No se autorizará la instalación de mesas en zonas que estén separadas de los establecimientos solicitantes por vías de tránsito rodado. A excepción de lo previsto en el apartado</w:t>
      </w:r>
      <w:r>
        <w:rPr>
          <w:spacing w:val="-1"/>
          <w:sz w:val="24"/>
        </w:rPr>
        <w:t> </w:t>
      </w:r>
      <w:r>
        <w:rPr>
          <w:sz w:val="24"/>
        </w:rPr>
        <w:t>12.12.</w:t>
      </w:r>
    </w:p>
    <w:p>
      <w:pPr>
        <w:pStyle w:val="BodyText"/>
      </w:pPr>
    </w:p>
    <w:p>
      <w:pPr>
        <w:pStyle w:val="BodyText"/>
        <w:ind w:left="218"/>
      </w:pPr>
      <w:r>
        <w:rPr/>
        <w:t>ñ) No se permitirán los parasoles anclados al pavimento.</w:t>
      </w:r>
    </w:p>
    <w:p>
      <w:pPr>
        <w:pStyle w:val="BodyText"/>
      </w:pPr>
    </w:p>
    <w:p>
      <w:pPr>
        <w:pStyle w:val="ListParagraph"/>
        <w:numPr>
          <w:ilvl w:val="0"/>
          <w:numId w:val="10"/>
        </w:numPr>
        <w:tabs>
          <w:tab w:pos="550" w:val="left" w:leader="none"/>
        </w:tabs>
        <w:spacing w:line="240" w:lineRule="auto" w:before="0" w:after="0"/>
        <w:ind w:left="218" w:right="120" w:firstLine="0"/>
        <w:jc w:val="both"/>
        <w:rPr>
          <w:sz w:val="24"/>
        </w:rPr>
      </w:pPr>
      <w:r>
        <w:rPr>
          <w:sz w:val="24"/>
        </w:rPr>
        <w:t>Quedan excluidos para la autorización de terrazas los establecimientos destinados a actividades musicales conforme a la definición y relación contenida en el Decreto 52/2012 de 7 de junio, por el que se establece la relación de actividades clasificadas y se determinan aquellas a las que resulta de aplicación el régimen de autorización</w:t>
      </w:r>
      <w:r>
        <w:rPr>
          <w:spacing w:val="-6"/>
          <w:sz w:val="24"/>
        </w:rPr>
        <w:t> </w:t>
      </w:r>
      <w:r>
        <w:rPr>
          <w:sz w:val="24"/>
        </w:rPr>
        <w:t>administrativa.</w:t>
      </w:r>
    </w:p>
    <w:p>
      <w:pPr>
        <w:pStyle w:val="BodyText"/>
      </w:pPr>
    </w:p>
    <w:p>
      <w:pPr>
        <w:pStyle w:val="BodyText"/>
        <w:ind w:left="218"/>
      </w:pPr>
      <w:r>
        <w:rPr/>
        <w:t>14. Solicitud y documentación preceptiva.</w:t>
      </w:r>
    </w:p>
    <w:p>
      <w:pPr>
        <w:pStyle w:val="BodyText"/>
        <w:ind w:left="218"/>
      </w:pPr>
      <w:r>
        <w:rPr/>
        <w:t>1. La solicitud se formulará conforme al modelo que se establezca y se acompañará de la siguiente documentación:</w:t>
      </w:r>
    </w:p>
    <w:p>
      <w:pPr>
        <w:pStyle w:val="ListParagraph"/>
        <w:numPr>
          <w:ilvl w:val="0"/>
          <w:numId w:val="11"/>
        </w:numPr>
        <w:tabs>
          <w:tab w:pos="495" w:val="left" w:leader="none"/>
        </w:tabs>
        <w:spacing w:line="240" w:lineRule="auto" w:before="1" w:after="0"/>
        <w:ind w:left="218" w:right="124" w:firstLine="0"/>
        <w:jc w:val="left"/>
        <w:rPr>
          <w:sz w:val="24"/>
        </w:rPr>
      </w:pPr>
      <w:r>
        <w:rPr>
          <w:sz w:val="24"/>
        </w:rPr>
        <w:t>Plano de situación y emplazamiento del establecimiento autorizable al que se vincula la terraza.</w:t>
      </w:r>
    </w:p>
    <w:p>
      <w:pPr>
        <w:pStyle w:val="ListParagraph"/>
        <w:numPr>
          <w:ilvl w:val="0"/>
          <w:numId w:val="11"/>
        </w:numPr>
        <w:tabs>
          <w:tab w:pos="479" w:val="left" w:leader="none"/>
        </w:tabs>
        <w:spacing w:line="240" w:lineRule="auto" w:before="0" w:after="0"/>
        <w:ind w:left="478" w:right="0" w:hanging="261"/>
        <w:jc w:val="left"/>
        <w:rPr>
          <w:sz w:val="24"/>
        </w:rPr>
      </w:pPr>
      <w:r>
        <w:rPr>
          <w:sz w:val="24"/>
        </w:rPr>
        <w:t>Dos fotografías en las que se aprecie con</w:t>
      </w:r>
      <w:r>
        <w:rPr>
          <w:spacing w:val="-2"/>
          <w:sz w:val="24"/>
        </w:rPr>
        <w:t> </w:t>
      </w:r>
      <w:r>
        <w:rPr>
          <w:sz w:val="24"/>
        </w:rPr>
        <w:t>claridad:</w:t>
      </w:r>
    </w:p>
    <w:p>
      <w:pPr>
        <w:pStyle w:val="ListParagraph"/>
        <w:numPr>
          <w:ilvl w:val="1"/>
          <w:numId w:val="11"/>
        </w:numPr>
        <w:tabs>
          <w:tab w:pos="659" w:val="left" w:leader="none"/>
        </w:tabs>
        <w:spacing w:line="240" w:lineRule="auto" w:before="0" w:after="0"/>
        <w:ind w:left="218" w:right="3101" w:firstLine="0"/>
        <w:jc w:val="left"/>
        <w:rPr>
          <w:sz w:val="24"/>
        </w:rPr>
      </w:pPr>
      <w:r>
        <w:rPr>
          <w:sz w:val="24"/>
        </w:rPr>
        <w:t>La fachada del establecimiento al que se vincula la </w:t>
      </w:r>
      <w:r>
        <w:rPr>
          <w:spacing w:val="-3"/>
          <w:sz w:val="24"/>
        </w:rPr>
        <w:t>terraza. </w:t>
      </w:r>
      <w:r>
        <w:rPr>
          <w:sz w:val="24"/>
        </w:rPr>
        <w:t>b.2) La fachada del inmueble en el que se ubica el</w:t>
      </w:r>
      <w:r>
        <w:rPr>
          <w:spacing w:val="-6"/>
          <w:sz w:val="24"/>
        </w:rPr>
        <w:t> </w:t>
      </w:r>
      <w:r>
        <w:rPr>
          <w:sz w:val="24"/>
        </w:rPr>
        <w:t>local.</w:t>
      </w:r>
    </w:p>
    <w:p>
      <w:pPr>
        <w:pStyle w:val="BodyText"/>
        <w:ind w:left="218"/>
      </w:pPr>
      <w:r>
        <w:rPr/>
        <w:t>b.3) Zona del espacio público en la que se pretende instalar la terraza.</w:t>
      </w:r>
    </w:p>
    <w:p>
      <w:pPr>
        <w:pStyle w:val="ListParagraph"/>
        <w:numPr>
          <w:ilvl w:val="0"/>
          <w:numId w:val="11"/>
        </w:numPr>
        <w:tabs>
          <w:tab w:pos="471" w:val="left" w:leader="none"/>
        </w:tabs>
        <w:spacing w:line="240" w:lineRule="auto" w:before="0" w:after="0"/>
        <w:ind w:left="218" w:right="125" w:firstLine="0"/>
        <w:jc w:val="left"/>
        <w:rPr>
          <w:sz w:val="24"/>
        </w:rPr>
      </w:pPr>
      <w:r>
        <w:rPr>
          <w:sz w:val="24"/>
        </w:rPr>
        <w:t>Plano acotado a escala 1/50 o 1/100 con la ubicación de la terraza, en el que se reflejen los siguientes</w:t>
      </w:r>
      <w:r>
        <w:rPr>
          <w:spacing w:val="-1"/>
          <w:sz w:val="24"/>
        </w:rPr>
        <w:t> </w:t>
      </w:r>
      <w:r>
        <w:rPr>
          <w:sz w:val="24"/>
        </w:rPr>
        <w:t>elementos:</w:t>
      </w:r>
    </w:p>
    <w:p>
      <w:pPr>
        <w:pStyle w:val="ListParagraph"/>
        <w:numPr>
          <w:ilvl w:val="1"/>
          <w:numId w:val="12"/>
        </w:numPr>
        <w:tabs>
          <w:tab w:pos="680" w:val="left" w:leader="none"/>
        </w:tabs>
        <w:spacing w:line="240" w:lineRule="auto" w:before="0" w:after="0"/>
        <w:ind w:left="218" w:right="121" w:firstLine="0"/>
        <w:jc w:val="both"/>
        <w:rPr>
          <w:sz w:val="24"/>
        </w:rPr>
      </w:pPr>
      <w:r>
        <w:rPr>
          <w:sz w:val="24"/>
        </w:rPr>
        <w:t>Superficie que se pretende ocupar con la terraza, con justificación de las unidades de ocupación conforme a lo dispuesto en esta ordenanza y distribución del mobiliario, en relación con la fachada del</w:t>
      </w:r>
      <w:r>
        <w:rPr>
          <w:spacing w:val="-3"/>
          <w:sz w:val="24"/>
        </w:rPr>
        <w:t> </w:t>
      </w:r>
      <w:r>
        <w:rPr>
          <w:sz w:val="24"/>
        </w:rPr>
        <w:t>establecimiento.</w:t>
      </w:r>
    </w:p>
    <w:p>
      <w:pPr>
        <w:pStyle w:val="ListParagraph"/>
        <w:numPr>
          <w:ilvl w:val="1"/>
          <w:numId w:val="12"/>
        </w:numPr>
        <w:tabs>
          <w:tab w:pos="697" w:val="left" w:leader="none"/>
        </w:tabs>
        <w:spacing w:line="240" w:lineRule="auto" w:before="0" w:after="0"/>
        <w:ind w:left="218" w:right="120" w:firstLine="0"/>
        <w:jc w:val="both"/>
        <w:rPr>
          <w:sz w:val="24"/>
        </w:rPr>
      </w:pPr>
      <w:r>
        <w:rPr>
          <w:sz w:val="24"/>
        </w:rPr>
        <w:t>Ubicación de los elementos naturales, mobiliario urbano y registro de servicios que puedan condicionar la instalación de la</w:t>
      </w:r>
      <w:r>
        <w:rPr>
          <w:spacing w:val="-4"/>
          <w:sz w:val="24"/>
        </w:rPr>
        <w:t> </w:t>
      </w:r>
      <w:r>
        <w:rPr>
          <w:sz w:val="24"/>
        </w:rPr>
        <w:t>terraza.</w:t>
      </w:r>
    </w:p>
    <w:p>
      <w:pPr>
        <w:pStyle w:val="ListParagraph"/>
        <w:numPr>
          <w:ilvl w:val="1"/>
          <w:numId w:val="12"/>
        </w:numPr>
        <w:tabs>
          <w:tab w:pos="649" w:val="left" w:leader="none"/>
        </w:tabs>
        <w:spacing w:line="240" w:lineRule="auto" w:before="1" w:after="0"/>
        <w:ind w:left="218" w:right="121" w:firstLine="0"/>
        <w:jc w:val="both"/>
        <w:rPr>
          <w:sz w:val="24"/>
        </w:rPr>
      </w:pPr>
      <w:r>
        <w:rPr>
          <w:sz w:val="24"/>
        </w:rPr>
        <w:t>Se deberá aportar coordenadas UTM de la superficie a ocupar para incorporación de base de datos cartográficos del</w:t>
      </w:r>
      <w:r>
        <w:rPr>
          <w:spacing w:val="-2"/>
          <w:sz w:val="24"/>
        </w:rPr>
        <w:t> </w:t>
      </w:r>
      <w:r>
        <w:rPr>
          <w:sz w:val="24"/>
        </w:rPr>
        <w:t>Ayuntamiento.</w:t>
      </w:r>
    </w:p>
    <w:p>
      <w:pPr>
        <w:pStyle w:val="ListParagraph"/>
        <w:numPr>
          <w:ilvl w:val="0"/>
          <w:numId w:val="11"/>
        </w:numPr>
        <w:tabs>
          <w:tab w:pos="479" w:val="left" w:leader="none"/>
        </w:tabs>
        <w:spacing w:line="240" w:lineRule="auto" w:before="0" w:after="0"/>
        <w:ind w:left="478" w:right="0" w:hanging="261"/>
        <w:jc w:val="both"/>
        <w:rPr>
          <w:sz w:val="24"/>
        </w:rPr>
      </w:pPr>
      <w:r>
        <w:rPr>
          <w:sz w:val="24"/>
        </w:rPr>
        <w:t>Expresión del aumento del aforo previsto respecto del establecimiento</w:t>
      </w:r>
      <w:r>
        <w:rPr>
          <w:spacing w:val="-4"/>
          <w:sz w:val="24"/>
        </w:rPr>
        <w:t> </w:t>
      </w:r>
      <w:r>
        <w:rPr>
          <w:sz w:val="24"/>
        </w:rPr>
        <w:t>principal.</w:t>
      </w:r>
    </w:p>
    <w:p>
      <w:pPr>
        <w:pStyle w:val="ListParagraph"/>
        <w:numPr>
          <w:ilvl w:val="0"/>
          <w:numId w:val="11"/>
        </w:numPr>
        <w:tabs>
          <w:tab w:pos="493" w:val="left" w:leader="none"/>
        </w:tabs>
        <w:spacing w:line="240" w:lineRule="auto" w:before="0" w:after="0"/>
        <w:ind w:left="218" w:right="124" w:firstLine="0"/>
        <w:jc w:val="both"/>
        <w:rPr>
          <w:sz w:val="24"/>
        </w:rPr>
      </w:pPr>
      <w:r>
        <w:rPr>
          <w:sz w:val="24"/>
        </w:rPr>
        <w:t>Descripción detallada de las características (materiales, color, etc.) del mobiliario que se pretende instalar, aportando fotografías del</w:t>
      </w:r>
      <w:r>
        <w:rPr>
          <w:spacing w:val="-3"/>
          <w:sz w:val="24"/>
        </w:rPr>
        <w:t> </w:t>
      </w:r>
      <w:r>
        <w:rPr>
          <w:sz w:val="24"/>
        </w:rPr>
        <w:t>mismo.</w:t>
      </w:r>
    </w:p>
    <w:p>
      <w:pPr>
        <w:pStyle w:val="BodyText"/>
      </w:pPr>
    </w:p>
    <w:p>
      <w:pPr>
        <w:pStyle w:val="ListParagraph"/>
        <w:numPr>
          <w:ilvl w:val="0"/>
          <w:numId w:val="13"/>
        </w:numPr>
        <w:tabs>
          <w:tab w:pos="584" w:val="left" w:leader="none"/>
        </w:tabs>
        <w:spacing w:line="240" w:lineRule="auto" w:before="0" w:after="0"/>
        <w:ind w:left="218" w:right="118" w:firstLine="0"/>
        <w:jc w:val="left"/>
        <w:rPr>
          <w:sz w:val="24"/>
        </w:rPr>
      </w:pPr>
      <w:r>
        <w:rPr>
          <w:sz w:val="24"/>
        </w:rPr>
        <w:t>La autorización otorgada para instalación de terraza incluirá, al menos, la delimitación de las dimensiones del espacio sobre el que se autoriza, la situación, el horario</w:t>
      </w:r>
      <w:r>
        <w:rPr>
          <w:spacing w:val="32"/>
          <w:sz w:val="24"/>
        </w:rPr>
        <w:t> </w:t>
      </w:r>
      <w:r>
        <w:rPr>
          <w:sz w:val="24"/>
        </w:rPr>
        <w:t>de</w:t>
      </w:r>
    </w:p>
    <w:p>
      <w:pPr>
        <w:spacing w:after="0" w:line="240" w:lineRule="auto"/>
        <w:jc w:val="left"/>
        <w:rPr>
          <w:sz w:val="24"/>
        </w:rPr>
        <w:sectPr>
          <w:pgSz w:w="11910" w:h="16840"/>
          <w:pgMar w:header="905" w:footer="0" w:top="2540" w:bottom="280" w:left="1200" w:right="1300"/>
        </w:sectPr>
      </w:pPr>
    </w:p>
    <w:p>
      <w:pPr>
        <w:pStyle w:val="BodyText"/>
        <w:spacing w:before="146"/>
        <w:ind w:left="218" w:right="120"/>
        <w:jc w:val="both"/>
      </w:pPr>
      <w:r>
        <w:rPr/>
        <w:t>funcionamiento, los elementos que se permite instalar en la terraza, así como el periodo de vigencia. Se hará constar el nombre del titular así como su número de identificación fiscal.</w:t>
      </w:r>
    </w:p>
    <w:p>
      <w:pPr>
        <w:pStyle w:val="BodyText"/>
        <w:rPr>
          <w:sz w:val="26"/>
        </w:rPr>
      </w:pPr>
    </w:p>
    <w:p>
      <w:pPr>
        <w:pStyle w:val="BodyText"/>
        <w:rPr>
          <w:sz w:val="26"/>
        </w:rPr>
      </w:pPr>
    </w:p>
    <w:p>
      <w:pPr>
        <w:pStyle w:val="ListParagraph"/>
        <w:numPr>
          <w:ilvl w:val="0"/>
          <w:numId w:val="13"/>
        </w:numPr>
        <w:tabs>
          <w:tab w:pos="639" w:val="left" w:leader="none"/>
        </w:tabs>
        <w:spacing w:line="240" w:lineRule="auto" w:before="230" w:after="0"/>
        <w:ind w:left="638" w:right="0" w:hanging="421"/>
        <w:jc w:val="both"/>
        <w:rPr>
          <w:sz w:val="24"/>
        </w:rPr>
      </w:pPr>
      <w:r>
        <w:rPr>
          <w:sz w:val="24"/>
        </w:rPr>
        <w:t>Cambio de titularidad de la autorización</w:t>
      </w:r>
      <w:r>
        <w:rPr>
          <w:spacing w:val="-3"/>
          <w:sz w:val="24"/>
        </w:rPr>
        <w:t> </w:t>
      </w:r>
      <w:r>
        <w:rPr>
          <w:sz w:val="24"/>
        </w:rPr>
        <w:t>administrativa.</w:t>
      </w:r>
    </w:p>
    <w:p>
      <w:pPr>
        <w:pStyle w:val="BodyText"/>
      </w:pPr>
    </w:p>
    <w:p>
      <w:pPr>
        <w:pStyle w:val="ListParagraph"/>
        <w:numPr>
          <w:ilvl w:val="0"/>
          <w:numId w:val="14"/>
        </w:numPr>
        <w:tabs>
          <w:tab w:pos="474" w:val="left" w:leader="none"/>
        </w:tabs>
        <w:spacing w:line="240" w:lineRule="auto" w:before="0" w:after="0"/>
        <w:ind w:left="218" w:right="123" w:firstLine="0"/>
        <w:jc w:val="both"/>
        <w:rPr>
          <w:sz w:val="24"/>
        </w:rPr>
      </w:pPr>
      <w:r>
        <w:rPr>
          <w:sz w:val="24"/>
        </w:rPr>
        <w:t>Para ser efectiva la transmisión deberá comunicarse por escrito al órgano competente para el otorgamiento de la autorización de</w:t>
      </w:r>
      <w:r>
        <w:rPr>
          <w:spacing w:val="-2"/>
          <w:sz w:val="24"/>
        </w:rPr>
        <w:t> </w:t>
      </w:r>
      <w:r>
        <w:rPr>
          <w:sz w:val="24"/>
        </w:rPr>
        <w:t>terraza.</w:t>
      </w:r>
    </w:p>
    <w:p>
      <w:pPr>
        <w:pStyle w:val="ListParagraph"/>
        <w:numPr>
          <w:ilvl w:val="0"/>
          <w:numId w:val="14"/>
        </w:numPr>
        <w:tabs>
          <w:tab w:pos="469" w:val="left" w:leader="none"/>
        </w:tabs>
        <w:spacing w:line="240" w:lineRule="auto" w:before="0" w:after="0"/>
        <w:ind w:left="218" w:right="124" w:firstLine="0"/>
        <w:jc w:val="both"/>
        <w:rPr>
          <w:sz w:val="24"/>
        </w:rPr>
      </w:pPr>
      <w:r>
        <w:rPr>
          <w:sz w:val="24"/>
        </w:rPr>
        <w:t>La transmisión de la autorización por sí misma no implica la renovación o inicio de nuevo plazo de</w:t>
      </w:r>
      <w:r>
        <w:rPr>
          <w:spacing w:val="-2"/>
          <w:sz w:val="24"/>
        </w:rPr>
        <w:t> </w:t>
      </w:r>
      <w:r>
        <w:rPr>
          <w:sz w:val="24"/>
        </w:rPr>
        <w:t>vigencia.</w:t>
      </w:r>
    </w:p>
    <w:p>
      <w:pPr>
        <w:pStyle w:val="ListParagraph"/>
        <w:numPr>
          <w:ilvl w:val="0"/>
          <w:numId w:val="14"/>
        </w:numPr>
        <w:tabs>
          <w:tab w:pos="459" w:val="left" w:leader="none"/>
        </w:tabs>
        <w:spacing w:line="240" w:lineRule="auto" w:before="1" w:after="0"/>
        <w:ind w:left="458" w:right="0" w:hanging="241"/>
        <w:jc w:val="both"/>
        <w:rPr>
          <w:sz w:val="24"/>
        </w:rPr>
      </w:pPr>
      <w:r>
        <w:rPr>
          <w:sz w:val="24"/>
        </w:rPr>
        <w:t>No serán transmisibles las autorizaciones de terrazas</w:t>
      </w:r>
      <w:r>
        <w:rPr>
          <w:spacing w:val="-4"/>
          <w:sz w:val="24"/>
        </w:rPr>
        <w:t> </w:t>
      </w:r>
      <w:r>
        <w:rPr>
          <w:sz w:val="24"/>
        </w:rPr>
        <w:t>que:</w:t>
      </w:r>
    </w:p>
    <w:p>
      <w:pPr>
        <w:pStyle w:val="ListParagraph"/>
        <w:numPr>
          <w:ilvl w:val="0"/>
          <w:numId w:val="15"/>
        </w:numPr>
        <w:tabs>
          <w:tab w:pos="531" w:val="left" w:leader="none"/>
        </w:tabs>
        <w:spacing w:line="240" w:lineRule="auto" w:before="0" w:after="0"/>
        <w:ind w:left="218" w:right="121" w:firstLine="0"/>
        <w:jc w:val="both"/>
        <w:rPr>
          <w:sz w:val="24"/>
        </w:rPr>
      </w:pPr>
      <w:r>
        <w:rPr>
          <w:sz w:val="24"/>
        </w:rPr>
        <w:t>Sean objeto de un procedimiento de inspección, de un expediente sancionador o de cualquier otro procedimiento de exigencia de responsabilidades administrativas, mientras no se haya dado cumplimiento a la sanción impuesta o se haya resuelto el archivo del expediente por falta de</w:t>
      </w:r>
      <w:r>
        <w:rPr>
          <w:spacing w:val="-1"/>
          <w:sz w:val="24"/>
        </w:rPr>
        <w:t> </w:t>
      </w:r>
      <w:r>
        <w:rPr>
          <w:sz w:val="24"/>
        </w:rPr>
        <w:t>responsabilidades.</w:t>
      </w:r>
    </w:p>
    <w:p>
      <w:pPr>
        <w:pStyle w:val="ListParagraph"/>
        <w:numPr>
          <w:ilvl w:val="0"/>
          <w:numId w:val="15"/>
        </w:numPr>
        <w:tabs>
          <w:tab w:pos="524" w:val="left" w:leader="none"/>
        </w:tabs>
        <w:spacing w:line="240" w:lineRule="auto" w:before="0" w:after="0"/>
        <w:ind w:left="218" w:right="123" w:firstLine="0"/>
        <w:jc w:val="both"/>
        <w:rPr>
          <w:sz w:val="24"/>
        </w:rPr>
      </w:pPr>
      <w:r>
        <w:rPr>
          <w:sz w:val="24"/>
        </w:rPr>
        <w:t>Sean objeto de un procedimiento de revocación o caducidad, sin que no haya recaído resolución firme que confirme la autorización de</w:t>
      </w:r>
      <w:r>
        <w:rPr>
          <w:spacing w:val="-3"/>
          <w:sz w:val="24"/>
        </w:rPr>
        <w:t> </w:t>
      </w:r>
      <w:r>
        <w:rPr>
          <w:sz w:val="24"/>
        </w:rPr>
        <w:t>terraza.</w:t>
      </w:r>
    </w:p>
    <w:p>
      <w:pPr>
        <w:pStyle w:val="ListParagraph"/>
        <w:numPr>
          <w:ilvl w:val="0"/>
          <w:numId w:val="14"/>
        </w:numPr>
        <w:tabs>
          <w:tab w:pos="474" w:val="left" w:leader="none"/>
        </w:tabs>
        <w:spacing w:line="240" w:lineRule="auto" w:before="0" w:after="0"/>
        <w:ind w:left="218" w:right="125" w:firstLine="0"/>
        <w:jc w:val="both"/>
        <w:rPr>
          <w:sz w:val="24"/>
        </w:rPr>
      </w:pPr>
      <w:r>
        <w:rPr>
          <w:sz w:val="24"/>
        </w:rPr>
        <w:t>No será transmisible la autorización de terraza a persona distinta al titular o explotador de la actividad de restauración al que esté</w:t>
      </w:r>
      <w:r>
        <w:rPr>
          <w:spacing w:val="-3"/>
          <w:sz w:val="24"/>
        </w:rPr>
        <w:t> </w:t>
      </w:r>
      <w:r>
        <w:rPr>
          <w:sz w:val="24"/>
        </w:rPr>
        <w:t>vinculada.</w:t>
      </w:r>
    </w:p>
    <w:p>
      <w:pPr>
        <w:pStyle w:val="ListParagraph"/>
        <w:numPr>
          <w:ilvl w:val="0"/>
          <w:numId w:val="14"/>
        </w:numPr>
        <w:tabs>
          <w:tab w:pos="519" w:val="left" w:leader="none"/>
        </w:tabs>
        <w:spacing w:line="240" w:lineRule="auto" w:before="0" w:after="0"/>
        <w:ind w:left="218" w:right="123" w:firstLine="0"/>
        <w:jc w:val="both"/>
        <w:rPr>
          <w:sz w:val="24"/>
        </w:rPr>
      </w:pPr>
      <w:r>
        <w:rPr>
          <w:sz w:val="24"/>
        </w:rPr>
        <w:t>No serán transmisibles las autorizaciones para la instalación de terrazas vinculadas</w:t>
      </w:r>
      <w:r>
        <w:rPr>
          <w:spacing w:val="40"/>
          <w:sz w:val="24"/>
        </w:rPr>
        <w:t> </w:t>
      </w:r>
      <w:r>
        <w:rPr>
          <w:sz w:val="24"/>
        </w:rPr>
        <w:t>a establecimientos de propiedad municipal objeto de concesión</w:t>
      </w:r>
      <w:r>
        <w:rPr>
          <w:spacing w:val="-2"/>
          <w:sz w:val="24"/>
        </w:rPr>
        <w:t> </w:t>
      </w:r>
      <w:r>
        <w:rPr>
          <w:sz w:val="24"/>
        </w:rPr>
        <w:t>administrativa.</w:t>
      </w:r>
    </w:p>
    <w:p>
      <w:pPr>
        <w:pStyle w:val="BodyText"/>
      </w:pPr>
    </w:p>
    <w:p>
      <w:pPr>
        <w:pStyle w:val="BodyText"/>
        <w:ind w:left="218"/>
        <w:jc w:val="both"/>
      </w:pPr>
      <w:r>
        <w:rPr/>
        <w:t>17. Plazo para resolver y sentido del silencio</w:t>
      </w:r>
    </w:p>
    <w:p>
      <w:pPr>
        <w:pStyle w:val="BodyText"/>
        <w:spacing w:before="1"/>
        <w:ind w:left="218" w:right="120"/>
        <w:jc w:val="both"/>
      </w:pPr>
      <w:r>
        <w:rPr/>
        <w:t>El plazo máximo para resolver será de tres meses, transcurrido dicho plazo se entenderá desestimada por silencio administrativo negativo.</w:t>
      </w:r>
    </w:p>
    <w:p>
      <w:pPr>
        <w:pStyle w:val="BodyText"/>
      </w:pPr>
    </w:p>
    <w:p>
      <w:pPr>
        <w:pStyle w:val="Heading1"/>
        <w:jc w:val="both"/>
      </w:pPr>
      <w:r>
        <w:rPr/>
        <w:t>13.- Vados y reservas de estacionamiento.</w:t>
      </w:r>
    </w:p>
    <w:p>
      <w:pPr>
        <w:pStyle w:val="BodyText"/>
        <w:rPr>
          <w:b/>
        </w:rPr>
      </w:pPr>
    </w:p>
    <w:p>
      <w:pPr>
        <w:pStyle w:val="BodyText"/>
        <w:ind w:left="218"/>
        <w:jc w:val="both"/>
      </w:pPr>
      <w:r>
        <w:rPr/>
        <w:t>1.-Requisitos y características:</w:t>
      </w:r>
    </w:p>
    <w:p>
      <w:pPr>
        <w:pStyle w:val="BodyText"/>
      </w:pPr>
    </w:p>
    <w:p>
      <w:pPr>
        <w:pStyle w:val="ListParagraph"/>
        <w:numPr>
          <w:ilvl w:val="0"/>
          <w:numId w:val="16"/>
        </w:numPr>
        <w:tabs>
          <w:tab w:pos="464" w:val="left" w:leader="none"/>
        </w:tabs>
        <w:spacing w:line="240" w:lineRule="auto" w:before="0" w:after="0"/>
        <w:ind w:left="463" w:right="0" w:hanging="246"/>
        <w:jc w:val="both"/>
        <w:rPr>
          <w:sz w:val="24"/>
        </w:rPr>
      </w:pPr>
      <w:r>
        <w:rPr>
          <w:sz w:val="24"/>
        </w:rPr>
        <w:t>Podrán obtener la autorización para uso de vado</w:t>
      </w:r>
      <w:r>
        <w:rPr>
          <w:spacing w:val="-4"/>
          <w:sz w:val="24"/>
        </w:rPr>
        <w:t> </w:t>
      </w:r>
      <w:r>
        <w:rPr>
          <w:sz w:val="24"/>
        </w:rPr>
        <w:t>permanente:</w:t>
      </w:r>
    </w:p>
    <w:p>
      <w:pPr>
        <w:pStyle w:val="BodyText"/>
        <w:spacing w:before="11"/>
        <w:rPr>
          <w:sz w:val="23"/>
        </w:rPr>
      </w:pPr>
    </w:p>
    <w:p>
      <w:pPr>
        <w:pStyle w:val="ListParagraph"/>
        <w:numPr>
          <w:ilvl w:val="1"/>
          <w:numId w:val="16"/>
        </w:numPr>
        <w:tabs>
          <w:tab w:pos="927" w:val="left" w:leader="none"/>
        </w:tabs>
        <w:spacing w:line="240" w:lineRule="auto" w:before="0" w:after="0"/>
        <w:ind w:left="938" w:right="120" w:hanging="360"/>
        <w:jc w:val="both"/>
        <w:rPr>
          <w:sz w:val="24"/>
        </w:rPr>
      </w:pPr>
      <w:r>
        <w:rPr>
          <w:sz w:val="24"/>
        </w:rPr>
        <w:t>Establecimientos industriales o comerciales, y en general de toda clase de locales de negocios: que se encuentran legalmente instalados, y que disponen del  correspondiente título habilitante y que la índole de los mismos exija necesariamente la entrada y salida de vehículos al</w:t>
      </w:r>
      <w:r>
        <w:rPr>
          <w:spacing w:val="-4"/>
          <w:sz w:val="24"/>
        </w:rPr>
        <w:t> </w:t>
      </w:r>
      <w:r>
        <w:rPr>
          <w:sz w:val="24"/>
        </w:rPr>
        <w:t>establecimiento.</w:t>
      </w:r>
    </w:p>
    <w:p>
      <w:pPr>
        <w:pStyle w:val="ListParagraph"/>
        <w:numPr>
          <w:ilvl w:val="1"/>
          <w:numId w:val="16"/>
        </w:numPr>
        <w:tabs>
          <w:tab w:pos="927" w:val="left" w:leader="none"/>
        </w:tabs>
        <w:spacing w:line="293" w:lineRule="exact" w:before="0" w:after="0"/>
        <w:ind w:left="926" w:right="0" w:hanging="349"/>
        <w:jc w:val="both"/>
        <w:rPr>
          <w:sz w:val="24"/>
        </w:rPr>
      </w:pPr>
      <w:r>
        <w:rPr>
          <w:sz w:val="24"/>
        </w:rPr>
        <w:t>Garajes y aparcamientos de</w:t>
      </w:r>
      <w:r>
        <w:rPr>
          <w:spacing w:val="1"/>
          <w:sz w:val="24"/>
        </w:rPr>
        <w:t> </w:t>
      </w:r>
      <w:r>
        <w:rPr>
          <w:sz w:val="24"/>
        </w:rPr>
        <w:t>viviendas.</w:t>
      </w:r>
    </w:p>
    <w:p>
      <w:pPr>
        <w:pStyle w:val="BodyText"/>
        <w:spacing w:before="11"/>
        <w:rPr>
          <w:sz w:val="23"/>
        </w:rPr>
      </w:pPr>
    </w:p>
    <w:p>
      <w:pPr>
        <w:pStyle w:val="BodyText"/>
        <w:ind w:left="218" w:right="123"/>
        <w:jc w:val="both"/>
      </w:pPr>
      <w:r>
        <w:rPr/>
        <w:t>Los vados permitirán la entrada y salida de vehículos durante las 24 horas del día, en los mismos no se permite el estacionamiento de vehículo alguno, ni siquiera el de su titular.</w:t>
      </w:r>
    </w:p>
    <w:p>
      <w:pPr>
        <w:pStyle w:val="BodyText"/>
        <w:ind w:left="218" w:right="122"/>
        <w:jc w:val="both"/>
      </w:pPr>
      <w:r>
        <w:rPr/>
        <w:t>Los vados se autorizarán siempre sin perjuicio de tercero. El permiso no crea ningún derecho subjetivo, y su titular podrá ser requerido en todo momento para que lo suprima a su costa y reponga la acera a su anterior estado.</w:t>
      </w:r>
    </w:p>
    <w:p>
      <w:pPr>
        <w:spacing w:after="0"/>
        <w:jc w:val="both"/>
        <w:sectPr>
          <w:pgSz w:w="11910" w:h="16840"/>
          <w:pgMar w:header="905" w:footer="0" w:top="2540" w:bottom="280" w:left="1200" w:right="1300"/>
        </w:sectPr>
      </w:pPr>
    </w:p>
    <w:p>
      <w:pPr>
        <w:pStyle w:val="BodyText"/>
        <w:spacing w:before="146"/>
        <w:ind w:left="218" w:right="122"/>
        <w:jc w:val="both"/>
      </w:pPr>
      <w:r>
        <w:rPr/>
        <w:t>Solamente podrán solicitar y, en su caso ser titular de la correspondiente licencia de vado, los propietarios de fincas y los arrendatarios de locales, según que el vado se expida para el servicio de aquéllas o para el uso exclusivo de éstos.</w:t>
      </w:r>
    </w:p>
    <w:p>
      <w:pPr>
        <w:pStyle w:val="BodyText"/>
      </w:pPr>
    </w:p>
    <w:p>
      <w:pPr>
        <w:pStyle w:val="ListParagraph"/>
        <w:numPr>
          <w:ilvl w:val="0"/>
          <w:numId w:val="16"/>
        </w:numPr>
        <w:tabs>
          <w:tab w:pos="519" w:val="left" w:leader="none"/>
        </w:tabs>
        <w:spacing w:line="240" w:lineRule="auto" w:before="0" w:after="0"/>
        <w:ind w:left="218" w:right="133" w:firstLine="0"/>
        <w:jc w:val="left"/>
        <w:rPr>
          <w:sz w:val="24"/>
        </w:rPr>
      </w:pPr>
      <w:r>
        <w:rPr>
          <w:sz w:val="24"/>
        </w:rPr>
        <w:t>Se podrá obtener la autorización de reserva de estacionamiento y reserva para carga y descarga en la vía</w:t>
      </w:r>
      <w:r>
        <w:rPr>
          <w:spacing w:val="-3"/>
          <w:sz w:val="24"/>
        </w:rPr>
        <w:t> </w:t>
      </w:r>
      <w:r>
        <w:rPr>
          <w:sz w:val="24"/>
        </w:rPr>
        <w:t>pública:</w:t>
      </w:r>
    </w:p>
    <w:p>
      <w:pPr>
        <w:pStyle w:val="BodyText"/>
      </w:pPr>
    </w:p>
    <w:p>
      <w:pPr>
        <w:pStyle w:val="ListParagraph"/>
        <w:numPr>
          <w:ilvl w:val="1"/>
          <w:numId w:val="17"/>
        </w:numPr>
        <w:tabs>
          <w:tab w:pos="1299" w:val="left" w:leader="none"/>
        </w:tabs>
        <w:spacing w:line="240" w:lineRule="auto" w:before="0" w:after="0"/>
        <w:ind w:left="938" w:right="230" w:firstLine="0"/>
        <w:jc w:val="both"/>
        <w:rPr>
          <w:sz w:val="24"/>
        </w:rPr>
      </w:pPr>
      <w:r>
        <w:rPr>
          <w:sz w:val="24"/>
        </w:rPr>
        <w:t>En los hoteles, residencias y establecimientos análogos, que tengan una capacidad fija para 100 plazas alojativas. (máx. 20 metros</w:t>
      </w:r>
      <w:r>
        <w:rPr>
          <w:spacing w:val="-1"/>
          <w:sz w:val="24"/>
        </w:rPr>
        <w:t> </w:t>
      </w:r>
      <w:r>
        <w:rPr>
          <w:sz w:val="24"/>
        </w:rPr>
        <w:t>lineales).</w:t>
      </w:r>
    </w:p>
    <w:p>
      <w:pPr>
        <w:pStyle w:val="ListParagraph"/>
        <w:numPr>
          <w:ilvl w:val="1"/>
          <w:numId w:val="17"/>
        </w:numPr>
        <w:tabs>
          <w:tab w:pos="1309" w:val="left" w:leader="none"/>
        </w:tabs>
        <w:spacing w:line="240" w:lineRule="auto" w:before="0" w:after="0"/>
        <w:ind w:left="938" w:right="118" w:firstLine="0"/>
        <w:jc w:val="both"/>
        <w:rPr>
          <w:sz w:val="24"/>
        </w:rPr>
      </w:pPr>
      <w:r>
        <w:rPr>
          <w:sz w:val="24"/>
        </w:rPr>
        <w:t>En las salas de espectáculos, cines, teatros, instalaciones deportivas y análogas, la justificación de que lo exigen las necesidades colectivas limitándose la reserva a las horas de entrada y salida a los mismos. (máx. 10 metros</w:t>
      </w:r>
      <w:r>
        <w:rPr>
          <w:spacing w:val="-11"/>
          <w:sz w:val="24"/>
        </w:rPr>
        <w:t> </w:t>
      </w:r>
      <w:r>
        <w:rPr>
          <w:sz w:val="24"/>
        </w:rPr>
        <w:t>lineales).</w:t>
      </w:r>
    </w:p>
    <w:p>
      <w:pPr>
        <w:pStyle w:val="ListParagraph"/>
        <w:numPr>
          <w:ilvl w:val="1"/>
          <w:numId w:val="17"/>
        </w:numPr>
        <w:tabs>
          <w:tab w:pos="1395" w:val="left" w:leader="none"/>
        </w:tabs>
        <w:spacing w:line="240" w:lineRule="auto" w:before="1" w:after="0"/>
        <w:ind w:left="938" w:right="124" w:firstLine="0"/>
        <w:jc w:val="both"/>
        <w:rPr>
          <w:sz w:val="24"/>
        </w:rPr>
      </w:pPr>
      <w:r>
        <w:rPr>
          <w:sz w:val="24"/>
        </w:rPr>
        <w:t>En los centros de rehabilitación, clínicas, farmacias, consultas médicas, y similares, la justificación de que lo exigen las necesidades colectivas, la reserva se limitará a las horas de apertura al público. (máx. 1 plaza de</w:t>
      </w:r>
      <w:r>
        <w:rPr>
          <w:spacing w:val="-4"/>
          <w:sz w:val="24"/>
        </w:rPr>
        <w:t> </w:t>
      </w:r>
      <w:r>
        <w:rPr>
          <w:sz w:val="24"/>
        </w:rPr>
        <w:t>aparcamiento).</w:t>
      </w:r>
    </w:p>
    <w:p>
      <w:pPr>
        <w:pStyle w:val="ListParagraph"/>
        <w:numPr>
          <w:ilvl w:val="1"/>
          <w:numId w:val="17"/>
        </w:numPr>
        <w:tabs>
          <w:tab w:pos="1393" w:val="left" w:leader="none"/>
        </w:tabs>
        <w:spacing w:line="240" w:lineRule="auto" w:before="0" w:after="0"/>
        <w:ind w:left="938" w:right="134" w:firstLine="0"/>
        <w:jc w:val="both"/>
        <w:rPr>
          <w:sz w:val="24"/>
        </w:rPr>
      </w:pPr>
      <w:r>
        <w:rPr>
          <w:sz w:val="24"/>
        </w:rPr>
        <w:t>Para vehículos oficiales debidamente autorizados de Organismos Oficiales, Oficinas Consulares y Servicios Públicos, que estén prestando un servicio</w:t>
      </w:r>
      <w:r>
        <w:rPr>
          <w:spacing w:val="-8"/>
          <w:sz w:val="24"/>
        </w:rPr>
        <w:t> </w:t>
      </w:r>
      <w:r>
        <w:rPr>
          <w:sz w:val="24"/>
        </w:rPr>
        <w:t>oficial.</w:t>
      </w:r>
    </w:p>
    <w:p>
      <w:pPr>
        <w:pStyle w:val="BodyText"/>
        <w:ind w:left="938" w:right="131"/>
        <w:jc w:val="both"/>
      </w:pPr>
      <w:r>
        <w:rPr/>
        <w:t>b.5. En las reservas de estacionamiento para vehículos de alquiler se permite únicamente la ocupación de tres plazas (máx. 15 metros lineales) de aparcamiento como máximo. Se deberá aportar junto a la solicitud memoria justificativa de la necesidad de ocupación de la vía pública. No se otorgará autorización para reservas de estacionamiento en vía pública cuando se disponga de VADO PERMANENTE en la misma ubicación / emplazamiento.</w:t>
      </w:r>
    </w:p>
    <w:p>
      <w:pPr>
        <w:pStyle w:val="BodyText"/>
        <w:ind w:left="938" w:right="130"/>
        <w:jc w:val="both"/>
      </w:pPr>
      <w:r>
        <w:rPr/>
        <w:t>b.6 En las reservas de estacionamiento para las operaciones de aprovisionamiento de gas en restauración u hostelería se otorgará autorización fijando fechas / horarios previstos para el uso de la reserva (metros líneas máximos determinados por características del camión que preste el servicio en cada caso).</w:t>
      </w:r>
    </w:p>
    <w:p>
      <w:pPr>
        <w:pStyle w:val="BodyText"/>
        <w:spacing w:before="1"/>
      </w:pPr>
    </w:p>
    <w:p>
      <w:pPr>
        <w:pStyle w:val="ListParagraph"/>
        <w:numPr>
          <w:ilvl w:val="0"/>
          <w:numId w:val="16"/>
        </w:numPr>
        <w:tabs>
          <w:tab w:pos="464" w:val="left" w:leader="none"/>
        </w:tabs>
        <w:spacing w:line="240" w:lineRule="auto" w:before="0" w:after="0"/>
        <w:ind w:left="463" w:right="0" w:hanging="246"/>
        <w:jc w:val="left"/>
        <w:rPr>
          <w:sz w:val="24"/>
        </w:rPr>
      </w:pPr>
      <w:r>
        <w:rPr>
          <w:sz w:val="24"/>
        </w:rPr>
        <w:t>Las reservas de estacionamiento pueden estar ligadas a la recarga de vehículos</w:t>
      </w:r>
      <w:r>
        <w:rPr>
          <w:spacing w:val="-9"/>
          <w:sz w:val="24"/>
        </w:rPr>
        <w:t> </w:t>
      </w:r>
      <w:r>
        <w:rPr>
          <w:sz w:val="24"/>
        </w:rPr>
        <w:t>eléctricos.</w:t>
      </w:r>
    </w:p>
    <w:p>
      <w:pPr>
        <w:pStyle w:val="BodyText"/>
      </w:pPr>
    </w:p>
    <w:p>
      <w:pPr>
        <w:pStyle w:val="ListParagraph"/>
        <w:numPr>
          <w:ilvl w:val="1"/>
          <w:numId w:val="18"/>
        </w:numPr>
        <w:tabs>
          <w:tab w:pos="627" w:val="left" w:leader="none"/>
        </w:tabs>
        <w:spacing w:line="259" w:lineRule="auto" w:before="0" w:after="0"/>
        <w:ind w:left="218" w:right="122" w:firstLine="0"/>
        <w:jc w:val="both"/>
        <w:rPr>
          <w:sz w:val="24"/>
        </w:rPr>
      </w:pPr>
      <w:r>
        <w:rPr>
          <w:sz w:val="24"/>
        </w:rPr>
        <w:t>La solicitud deberá venir acompañada de memoria en la que se detalle gráficamente y con precisión la ubicación propuesta, proyecto que incluya todas las obras necesarias para la instalación del punto de recarga, firmado por técnico</w:t>
      </w:r>
      <w:r>
        <w:rPr>
          <w:spacing w:val="-2"/>
          <w:sz w:val="24"/>
        </w:rPr>
        <w:t> </w:t>
      </w:r>
      <w:r>
        <w:rPr>
          <w:sz w:val="24"/>
        </w:rPr>
        <w:t>competente.</w:t>
      </w:r>
    </w:p>
    <w:p>
      <w:pPr>
        <w:pStyle w:val="BodyText"/>
        <w:spacing w:before="11"/>
        <w:rPr>
          <w:sz w:val="25"/>
        </w:rPr>
      </w:pPr>
    </w:p>
    <w:p>
      <w:pPr>
        <w:pStyle w:val="ListParagraph"/>
        <w:numPr>
          <w:ilvl w:val="1"/>
          <w:numId w:val="18"/>
        </w:numPr>
        <w:tabs>
          <w:tab w:pos="658" w:val="left" w:leader="none"/>
        </w:tabs>
        <w:spacing w:line="259" w:lineRule="auto" w:before="0" w:after="0"/>
        <w:ind w:left="218" w:right="114" w:firstLine="0"/>
        <w:jc w:val="both"/>
        <w:rPr>
          <w:sz w:val="24"/>
        </w:rPr>
      </w:pPr>
      <w:r>
        <w:rPr>
          <w:sz w:val="24"/>
        </w:rPr>
        <w:t>Con la solicitud se presentará un documento en el que se indicará en qué condiciones (procedimiento y requisitos) se establecerá el acceso de los usuarios al servicio de</w:t>
      </w:r>
      <w:r>
        <w:rPr>
          <w:spacing w:val="-11"/>
          <w:sz w:val="24"/>
        </w:rPr>
        <w:t> </w:t>
      </w:r>
      <w:r>
        <w:rPr>
          <w:sz w:val="24"/>
        </w:rPr>
        <w:t>recarga.</w:t>
      </w:r>
    </w:p>
    <w:p>
      <w:pPr>
        <w:pStyle w:val="BodyText"/>
        <w:spacing w:before="10"/>
        <w:rPr>
          <w:sz w:val="25"/>
        </w:rPr>
      </w:pPr>
    </w:p>
    <w:p>
      <w:pPr>
        <w:pStyle w:val="ListParagraph"/>
        <w:numPr>
          <w:ilvl w:val="1"/>
          <w:numId w:val="18"/>
        </w:numPr>
        <w:tabs>
          <w:tab w:pos="685" w:val="left" w:leader="none"/>
        </w:tabs>
        <w:spacing w:line="240" w:lineRule="auto" w:before="0" w:after="0"/>
        <w:ind w:left="684" w:right="0" w:hanging="467"/>
        <w:jc w:val="left"/>
        <w:rPr>
          <w:sz w:val="24"/>
        </w:rPr>
      </w:pPr>
      <w:r>
        <w:rPr>
          <w:sz w:val="24"/>
        </w:rPr>
        <w:t>Requisitos</w:t>
      </w:r>
      <w:r>
        <w:rPr>
          <w:spacing w:val="-1"/>
          <w:sz w:val="24"/>
        </w:rPr>
        <w:t> </w:t>
      </w:r>
      <w:r>
        <w:rPr>
          <w:sz w:val="24"/>
        </w:rPr>
        <w:t>técnicos:</w:t>
      </w:r>
    </w:p>
    <w:p>
      <w:pPr>
        <w:pStyle w:val="BodyText"/>
        <w:spacing w:before="8"/>
        <w:rPr>
          <w:sz w:val="27"/>
        </w:rPr>
      </w:pPr>
    </w:p>
    <w:p>
      <w:pPr>
        <w:pStyle w:val="BodyText"/>
        <w:spacing w:line="259" w:lineRule="auto" w:before="1"/>
        <w:ind w:left="926" w:right="121"/>
        <w:jc w:val="both"/>
      </w:pPr>
      <w:r>
        <w:rPr/>
        <w:t>I.- Los puntos de recarga autorizados cumplirán los requisitos que se establecen en la instrucción Técnica Complementaria (ITC) BT 52 “Instalación con fines especiales. Infraestructura para la recarga de vehículos eléctricos” aprobada por el Real Decreto 1053/2014, de 12 de diciembre.</w:t>
      </w:r>
    </w:p>
    <w:p>
      <w:pPr>
        <w:pStyle w:val="BodyText"/>
        <w:spacing w:line="274" w:lineRule="exact"/>
        <w:ind w:left="926"/>
        <w:jc w:val="both"/>
      </w:pPr>
      <w:r>
        <w:rPr/>
        <w:t>II.- Señalización de las plazas en vía pública.</w:t>
      </w:r>
    </w:p>
    <w:p>
      <w:pPr>
        <w:spacing w:after="0" w:line="274" w:lineRule="exact"/>
        <w:jc w:val="both"/>
        <w:sectPr>
          <w:pgSz w:w="11910" w:h="16840"/>
          <w:pgMar w:header="905" w:footer="0" w:top="2540" w:bottom="280" w:left="1200" w:right="1300"/>
        </w:sectPr>
      </w:pPr>
    </w:p>
    <w:p>
      <w:pPr>
        <w:pStyle w:val="BodyText"/>
        <w:spacing w:line="261" w:lineRule="auto" w:before="146"/>
        <w:ind w:left="926" w:right="123"/>
        <w:jc w:val="both"/>
      </w:pPr>
      <w:r>
        <w:rPr/>
        <w:t>III.- El perímetro de la plaza deberá estar claramente delimitado a través de señalización horizontal consistente en una línea de trazo continuo o discontinuo.</w:t>
      </w:r>
    </w:p>
    <w:p>
      <w:pPr>
        <w:pStyle w:val="BodyText"/>
        <w:spacing w:line="259" w:lineRule="auto"/>
        <w:ind w:left="926" w:right="118"/>
        <w:jc w:val="both"/>
      </w:pPr>
      <w:r>
        <w:rPr/>
        <w:t>IV.- Todas las infraestructuras vinculadas a la recarga de los vehículos deberá instalarse fuera de las aceras o espacios reservados al tránsito peatonal.</w:t>
      </w:r>
    </w:p>
    <w:p>
      <w:pPr>
        <w:pStyle w:val="BodyText"/>
        <w:spacing w:line="259" w:lineRule="auto"/>
        <w:ind w:left="926" w:right="116"/>
        <w:jc w:val="both"/>
      </w:pPr>
      <w:r>
        <w:rPr/>
        <w:t>V.- Deberá disponer de la documentación pertinente según lo dispuesto en la normativa (REBT y demás normativa que se de</w:t>
      </w:r>
      <w:r>
        <w:rPr>
          <w:spacing w:val="-6"/>
        </w:rPr>
        <w:t> </w:t>
      </w:r>
      <w:r>
        <w:rPr/>
        <w:t>aplicación).</w:t>
      </w:r>
    </w:p>
    <w:p>
      <w:pPr>
        <w:pStyle w:val="BodyText"/>
        <w:spacing w:line="259" w:lineRule="auto"/>
        <w:ind w:left="926" w:right="117"/>
        <w:jc w:val="both"/>
      </w:pPr>
      <w:r>
        <w:rPr/>
        <w:t>Previo al otorgamiento de la licencia se comprobará que las instalaciones privadas están debidamente legalizadas y con la correspondiente revisión periódica reglamentaria por u Organismo de Control. En el supuesto de revisión reglamentaria favorable se deberá redactar el correspondiente proyecto de reforma de instalación eléctrica indicando en la memoria el correspondiente antecedente, y procediendo a su legalización conforme al trámite establecido en la sede electrónica del Gobierno de Canarias.</w:t>
      </w:r>
    </w:p>
    <w:p>
      <w:pPr>
        <w:pStyle w:val="BodyText"/>
        <w:spacing w:before="6"/>
        <w:rPr>
          <w:sz w:val="23"/>
        </w:rPr>
      </w:pPr>
    </w:p>
    <w:p>
      <w:pPr>
        <w:pStyle w:val="ListParagraph"/>
        <w:numPr>
          <w:ilvl w:val="0"/>
          <w:numId w:val="16"/>
        </w:numPr>
        <w:tabs>
          <w:tab w:pos="498" w:val="left" w:leader="none"/>
        </w:tabs>
        <w:spacing w:line="240" w:lineRule="auto" w:before="0" w:after="0"/>
        <w:ind w:left="218" w:right="135" w:firstLine="0"/>
        <w:jc w:val="both"/>
        <w:rPr>
          <w:sz w:val="24"/>
        </w:rPr>
      </w:pPr>
      <w:r>
        <w:rPr>
          <w:sz w:val="24"/>
        </w:rPr>
        <w:t>Las reservas de estacionamiento para bicicletas / VMP (vehículos de movilidad personal) se concederá vinculado a local con título habilitante para el ejercicio de la actividad (máx. 5 metros</w:t>
      </w:r>
      <w:r>
        <w:rPr>
          <w:spacing w:val="-1"/>
          <w:sz w:val="24"/>
        </w:rPr>
        <w:t> </w:t>
      </w:r>
      <w:r>
        <w:rPr>
          <w:sz w:val="24"/>
        </w:rPr>
        <w:t>lineales).</w:t>
      </w:r>
    </w:p>
    <w:p>
      <w:pPr>
        <w:pStyle w:val="BodyText"/>
        <w:ind w:left="218" w:right="135"/>
        <w:jc w:val="both"/>
      </w:pPr>
      <w:r>
        <w:rPr/>
        <w:t>En las reservas de estacionamiento para alquiler de bicicletas / VMP se deberá instalar aparca- bicicletas de esta tipología o</w:t>
      </w:r>
      <w:r>
        <w:rPr>
          <w:spacing w:val="-1"/>
        </w:rPr>
        <w:t> </w:t>
      </w:r>
      <w:r>
        <w:rPr/>
        <w:t>similares.</w:t>
      </w:r>
    </w:p>
    <w:p>
      <w:pPr>
        <w:pStyle w:val="BodyText"/>
        <w:spacing w:before="6"/>
        <w:rPr>
          <w:sz w:val="20"/>
        </w:rPr>
      </w:pPr>
      <w:r>
        <w:rPr/>
        <w:drawing>
          <wp:anchor distT="0" distB="0" distL="0" distR="0" allowOverlap="1" layoutInCell="1" locked="0" behindDoc="0" simplePos="0" relativeHeight="1">
            <wp:simplePos x="0" y="0"/>
            <wp:positionH relativeFrom="page">
              <wp:posOffset>2797810</wp:posOffset>
            </wp:positionH>
            <wp:positionV relativeFrom="paragraph">
              <wp:posOffset>175003</wp:posOffset>
            </wp:positionV>
            <wp:extent cx="2400142" cy="2364771"/>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2400142" cy="2364771"/>
                    </a:xfrm>
                    <a:prstGeom prst="rect">
                      <a:avLst/>
                    </a:prstGeom>
                  </pic:spPr>
                </pic:pic>
              </a:graphicData>
            </a:graphic>
          </wp:anchor>
        </w:drawing>
      </w:r>
    </w:p>
    <w:p>
      <w:pPr>
        <w:pStyle w:val="BodyText"/>
        <w:spacing w:before="3"/>
        <w:rPr>
          <w:sz w:val="23"/>
        </w:rPr>
      </w:pPr>
    </w:p>
    <w:p>
      <w:pPr>
        <w:pStyle w:val="BodyText"/>
        <w:ind w:left="218" w:right="135"/>
        <w:jc w:val="both"/>
      </w:pPr>
      <w:r>
        <w:rPr/>
        <w:t>Se deberán instalar de manera que los usuarios / clientes no deban invadir el carril</w:t>
      </w:r>
      <w:r>
        <w:rPr>
          <w:spacing w:val="33"/>
        </w:rPr>
        <w:t> </w:t>
      </w:r>
      <w:r>
        <w:rPr/>
        <w:t>de circulación para retirar las bicicletas. Se concederá vinculado a local con título habilitante para el ejercicio de la actividad (máx. 5 metros</w:t>
      </w:r>
      <w:r>
        <w:rPr>
          <w:spacing w:val="-3"/>
        </w:rPr>
        <w:t> </w:t>
      </w:r>
      <w:r>
        <w:rPr/>
        <w:t>lineales).</w:t>
      </w:r>
    </w:p>
    <w:p>
      <w:pPr>
        <w:pStyle w:val="BodyText"/>
        <w:rPr>
          <w:sz w:val="26"/>
        </w:rPr>
      </w:pPr>
    </w:p>
    <w:p>
      <w:pPr>
        <w:pStyle w:val="BodyText"/>
        <w:spacing w:before="1"/>
        <w:rPr>
          <w:sz w:val="22"/>
        </w:rPr>
      </w:pPr>
    </w:p>
    <w:p>
      <w:pPr>
        <w:pStyle w:val="ListParagraph"/>
        <w:numPr>
          <w:ilvl w:val="0"/>
          <w:numId w:val="16"/>
        </w:numPr>
        <w:tabs>
          <w:tab w:pos="498" w:val="left" w:leader="none"/>
        </w:tabs>
        <w:spacing w:line="240" w:lineRule="auto" w:before="0" w:after="0"/>
        <w:ind w:left="218" w:right="133" w:firstLine="0"/>
        <w:jc w:val="both"/>
        <w:rPr>
          <w:sz w:val="24"/>
        </w:rPr>
      </w:pPr>
      <w:r>
        <w:rPr>
          <w:sz w:val="24"/>
        </w:rPr>
        <w:t>Podrán obtener reserva de estacionamiento para minusválidos o personas con movilidad reducida aquellas personas que no disponen de garaje o aparcamiento privativo en su vivienda y soliciten la reserva de la vía pública de un único aparcamiento para la persona con movilidad reducida o minusválido, siendo nominativo y para su residencia habitual y permanente, es decir, su lugar de</w:t>
      </w:r>
      <w:r>
        <w:rPr>
          <w:spacing w:val="-3"/>
          <w:sz w:val="24"/>
        </w:rPr>
        <w:t> </w:t>
      </w:r>
      <w:r>
        <w:rPr>
          <w:sz w:val="24"/>
        </w:rPr>
        <w:t>residencia.</w:t>
      </w:r>
    </w:p>
    <w:p>
      <w:pPr>
        <w:spacing w:after="0" w:line="240" w:lineRule="auto"/>
        <w:jc w:val="both"/>
        <w:rPr>
          <w:sz w:val="24"/>
        </w:rPr>
        <w:sectPr>
          <w:pgSz w:w="11910" w:h="16840"/>
          <w:pgMar w:header="905" w:footer="0" w:top="2540" w:bottom="280" w:left="1200" w:right="1300"/>
        </w:sectPr>
      </w:pPr>
    </w:p>
    <w:p>
      <w:pPr>
        <w:pStyle w:val="BodyText"/>
        <w:spacing w:before="10"/>
        <w:rPr>
          <w:sz w:val="28"/>
        </w:rPr>
      </w:pPr>
    </w:p>
    <w:p>
      <w:pPr>
        <w:pStyle w:val="BodyText"/>
        <w:spacing w:before="90"/>
        <w:ind w:left="218"/>
      </w:pPr>
      <w:r>
        <w:rPr/>
        <w:t>2.- Señalización de los límites de la ocupación:</w:t>
      </w:r>
    </w:p>
    <w:p>
      <w:pPr>
        <w:pStyle w:val="BodyText"/>
      </w:pPr>
    </w:p>
    <w:p>
      <w:pPr>
        <w:pStyle w:val="ListParagraph"/>
        <w:numPr>
          <w:ilvl w:val="0"/>
          <w:numId w:val="19"/>
        </w:numPr>
        <w:tabs>
          <w:tab w:pos="465" w:val="left" w:leader="none"/>
        </w:tabs>
        <w:spacing w:line="240" w:lineRule="auto" w:before="0" w:after="0"/>
        <w:ind w:left="464" w:right="0" w:hanging="247"/>
        <w:jc w:val="both"/>
        <w:rPr>
          <w:sz w:val="24"/>
        </w:rPr>
      </w:pPr>
      <w:r>
        <w:rPr>
          <w:sz w:val="24"/>
        </w:rPr>
        <w:t>Las áreas deben estar debidamente señalizadas por el Ayuntamiento de</w:t>
      </w:r>
      <w:r>
        <w:rPr>
          <w:spacing w:val="2"/>
          <w:sz w:val="24"/>
        </w:rPr>
        <w:t> </w:t>
      </w:r>
      <w:r>
        <w:rPr>
          <w:sz w:val="24"/>
        </w:rPr>
        <w:t>Tías.</w:t>
      </w:r>
    </w:p>
    <w:p>
      <w:pPr>
        <w:pStyle w:val="ListParagraph"/>
        <w:numPr>
          <w:ilvl w:val="0"/>
          <w:numId w:val="19"/>
        </w:numPr>
        <w:tabs>
          <w:tab w:pos="481" w:val="left" w:leader="none"/>
        </w:tabs>
        <w:spacing w:line="240" w:lineRule="auto" w:before="0" w:after="0"/>
        <w:ind w:left="218" w:right="114" w:firstLine="0"/>
        <w:jc w:val="both"/>
        <w:rPr>
          <w:sz w:val="24"/>
        </w:rPr>
      </w:pPr>
      <w:r>
        <w:rPr>
          <w:sz w:val="24"/>
        </w:rPr>
        <w:t>La señalización será la siguiente: En el acceso a la finca o en el perímetro del aparcamiento se instalará, a cada lado y a una altura de 1,80 metros, un rectángulo con fondo blanco en el que esté pintado un disco de prohibido estacionar. Debajo de este disco pintado se indicará la reseña el número de autorización "N°" y si se trata de una reserva de estacionamiento para minusválido, el número de matrícula de coche, todo con letras perfectamente legibles. En caso de no existir en la edificación soporte para la colocación de las placas la señalización se hará con pintura horizontal dentro del cajetín que le</w:t>
      </w:r>
      <w:r>
        <w:rPr>
          <w:spacing w:val="-2"/>
          <w:sz w:val="24"/>
        </w:rPr>
        <w:t> </w:t>
      </w:r>
      <w:r>
        <w:rPr>
          <w:sz w:val="24"/>
        </w:rPr>
        <w:t>corresponda.</w:t>
      </w:r>
    </w:p>
    <w:p>
      <w:pPr>
        <w:pStyle w:val="ListParagraph"/>
        <w:numPr>
          <w:ilvl w:val="0"/>
          <w:numId w:val="19"/>
        </w:numPr>
        <w:tabs>
          <w:tab w:pos="465" w:val="left" w:leader="none"/>
        </w:tabs>
        <w:spacing w:line="240" w:lineRule="auto" w:before="1" w:after="0"/>
        <w:ind w:left="464" w:right="0" w:hanging="247"/>
        <w:jc w:val="both"/>
        <w:rPr>
          <w:sz w:val="24"/>
        </w:rPr>
      </w:pPr>
      <w:r>
        <w:rPr>
          <w:sz w:val="24"/>
        </w:rPr>
        <w:t>El Ayuntamiento podrá establecer los nuevos distintivos que estime</w:t>
      </w:r>
      <w:r>
        <w:rPr>
          <w:spacing w:val="-4"/>
          <w:sz w:val="24"/>
        </w:rPr>
        <w:t> </w:t>
      </w:r>
      <w:r>
        <w:rPr>
          <w:sz w:val="24"/>
        </w:rPr>
        <w:t>conveniente.</w:t>
      </w:r>
    </w:p>
    <w:p>
      <w:pPr>
        <w:pStyle w:val="ListParagraph"/>
        <w:numPr>
          <w:ilvl w:val="0"/>
          <w:numId w:val="19"/>
        </w:numPr>
        <w:tabs>
          <w:tab w:pos="517" w:val="left" w:leader="none"/>
        </w:tabs>
        <w:spacing w:line="240" w:lineRule="auto" w:before="0" w:after="0"/>
        <w:ind w:left="218" w:right="119" w:firstLine="0"/>
        <w:jc w:val="both"/>
        <w:rPr>
          <w:sz w:val="24"/>
        </w:rPr>
      </w:pPr>
      <w:r>
        <w:rPr>
          <w:sz w:val="24"/>
        </w:rPr>
        <w:t>En caso de reservas de estacionamiento de vehículos según art. 13.1.b.3 de la presente ordenanza se señalizará con señalización horizontal de color amarillo y con el número de expediente en su interior.</w:t>
      </w:r>
    </w:p>
    <w:p>
      <w:pPr>
        <w:pStyle w:val="BodyText"/>
      </w:pPr>
    </w:p>
    <w:p>
      <w:pPr>
        <w:pStyle w:val="BodyText"/>
        <w:ind w:left="218"/>
      </w:pPr>
      <w:r>
        <w:rPr/>
        <w:t>3.- Obligaciones:</w:t>
      </w:r>
    </w:p>
    <w:p>
      <w:pPr>
        <w:pStyle w:val="BodyText"/>
      </w:pPr>
    </w:p>
    <w:p>
      <w:pPr>
        <w:pStyle w:val="ListParagraph"/>
        <w:numPr>
          <w:ilvl w:val="0"/>
          <w:numId w:val="20"/>
        </w:numPr>
        <w:tabs>
          <w:tab w:pos="465" w:val="left" w:leader="none"/>
        </w:tabs>
        <w:spacing w:line="276" w:lineRule="exact" w:before="0" w:after="0"/>
        <w:ind w:left="464" w:right="0" w:hanging="247"/>
        <w:jc w:val="both"/>
        <w:rPr>
          <w:sz w:val="24"/>
        </w:rPr>
      </w:pPr>
      <w:r>
        <w:rPr>
          <w:sz w:val="24"/>
        </w:rPr>
        <w:t>Vado:</w:t>
      </w:r>
    </w:p>
    <w:p>
      <w:pPr>
        <w:pStyle w:val="ListParagraph"/>
        <w:numPr>
          <w:ilvl w:val="1"/>
          <w:numId w:val="20"/>
        </w:numPr>
        <w:tabs>
          <w:tab w:pos="927" w:val="left" w:leader="none"/>
        </w:tabs>
        <w:spacing w:line="240" w:lineRule="auto" w:before="0" w:after="0"/>
        <w:ind w:left="996" w:right="121" w:hanging="360"/>
        <w:jc w:val="both"/>
        <w:rPr>
          <w:sz w:val="24"/>
        </w:rPr>
      </w:pPr>
      <w:r>
        <w:rPr>
          <w:sz w:val="24"/>
        </w:rPr>
        <w:t>La construcción del vado, siendo la realización de las obras de construcción o adecuación del vado a cargo del titular, así como la obtención del título habilitante para la ejecución del mismo. Todo ello sin perjuicio de las facultades de inspección del Ayuntamiento.</w:t>
      </w:r>
    </w:p>
    <w:p>
      <w:pPr>
        <w:pStyle w:val="ListParagraph"/>
        <w:numPr>
          <w:ilvl w:val="1"/>
          <w:numId w:val="20"/>
        </w:numPr>
        <w:tabs>
          <w:tab w:pos="927" w:val="left" w:leader="none"/>
        </w:tabs>
        <w:spacing w:line="242" w:lineRule="auto" w:before="0" w:after="0"/>
        <w:ind w:left="996" w:right="121" w:hanging="360"/>
        <w:jc w:val="both"/>
        <w:rPr>
          <w:sz w:val="24"/>
        </w:rPr>
      </w:pPr>
      <w:r>
        <w:rPr>
          <w:sz w:val="24"/>
        </w:rPr>
        <w:t>Efectuar en el vado y a su costa las obras ordinarias y extraordinarias que le ordene el Ayuntamiento.</w:t>
      </w:r>
    </w:p>
    <w:p>
      <w:pPr>
        <w:pStyle w:val="ListParagraph"/>
        <w:numPr>
          <w:ilvl w:val="1"/>
          <w:numId w:val="20"/>
        </w:numPr>
        <w:tabs>
          <w:tab w:pos="927" w:val="left" w:leader="none"/>
        </w:tabs>
        <w:spacing w:line="240" w:lineRule="auto" w:before="0" w:after="0"/>
        <w:ind w:left="996" w:right="120" w:hanging="360"/>
        <w:jc w:val="both"/>
        <w:rPr>
          <w:sz w:val="24"/>
        </w:rPr>
      </w:pPr>
      <w:r>
        <w:rPr>
          <w:sz w:val="24"/>
        </w:rPr>
        <w:t>El titular de la licencia será el único responsable de cuantas obligaciones incumban a los usuarios del vado, cualesquiera que éstas</w:t>
      </w:r>
      <w:r>
        <w:rPr>
          <w:spacing w:val="-4"/>
          <w:sz w:val="24"/>
        </w:rPr>
        <w:t> </w:t>
      </w:r>
      <w:r>
        <w:rPr>
          <w:sz w:val="24"/>
        </w:rPr>
        <w:t>sean.</w:t>
      </w:r>
    </w:p>
    <w:p>
      <w:pPr>
        <w:pStyle w:val="ListParagraph"/>
        <w:numPr>
          <w:ilvl w:val="1"/>
          <w:numId w:val="20"/>
        </w:numPr>
        <w:tabs>
          <w:tab w:pos="927" w:val="left" w:leader="none"/>
        </w:tabs>
        <w:spacing w:line="240" w:lineRule="auto" w:before="0" w:after="0"/>
        <w:ind w:left="996" w:right="119" w:hanging="360"/>
        <w:jc w:val="both"/>
        <w:rPr>
          <w:sz w:val="24"/>
        </w:rPr>
      </w:pPr>
      <w:r>
        <w:rPr>
          <w:sz w:val="24"/>
        </w:rPr>
        <w:t>La acera de salida y entrada al garaje deberá cumplir con las especificaciones de la Orden TMA/851/2021, de 23 de julio, por la que se desarrolla el documento técnico de condiciones básicas de accesibilidad y no discriminación para el acceso y la utilización de los espacios públicos urbanos. Específicamente artículo 20 “Vados Peatonales”.</w:t>
      </w:r>
    </w:p>
    <w:p>
      <w:pPr>
        <w:pStyle w:val="BodyText"/>
        <w:spacing w:before="4"/>
        <w:rPr>
          <w:sz w:val="23"/>
        </w:rPr>
      </w:pPr>
    </w:p>
    <w:p>
      <w:pPr>
        <w:pStyle w:val="ListParagraph"/>
        <w:numPr>
          <w:ilvl w:val="0"/>
          <w:numId w:val="20"/>
        </w:numPr>
        <w:tabs>
          <w:tab w:pos="479" w:val="left" w:leader="none"/>
        </w:tabs>
        <w:spacing w:line="276" w:lineRule="exact" w:before="0" w:after="0"/>
        <w:ind w:left="478" w:right="0" w:hanging="261"/>
        <w:jc w:val="both"/>
        <w:rPr>
          <w:sz w:val="24"/>
        </w:rPr>
      </w:pPr>
      <w:r>
        <w:rPr>
          <w:sz w:val="24"/>
        </w:rPr>
        <w:t>Reserva:</w:t>
      </w:r>
    </w:p>
    <w:p>
      <w:pPr>
        <w:pStyle w:val="ListParagraph"/>
        <w:numPr>
          <w:ilvl w:val="1"/>
          <w:numId w:val="20"/>
        </w:numPr>
        <w:tabs>
          <w:tab w:pos="927" w:val="left" w:leader="none"/>
        </w:tabs>
        <w:spacing w:line="240" w:lineRule="auto" w:before="0" w:after="0"/>
        <w:ind w:left="938" w:right="122" w:hanging="360"/>
        <w:jc w:val="both"/>
        <w:rPr>
          <w:sz w:val="24"/>
        </w:rPr>
      </w:pPr>
      <w:r>
        <w:rPr>
          <w:sz w:val="24"/>
        </w:rPr>
        <w:t>El estacionamiento de vehículos solo estará permitido en la forma y en los lugares que prescriben la Ley sobre Tráfico, Circulación de Vehículos a Motor y Seguridad</w:t>
      </w:r>
      <w:r>
        <w:rPr>
          <w:spacing w:val="-11"/>
          <w:sz w:val="24"/>
        </w:rPr>
        <w:t> </w:t>
      </w:r>
      <w:r>
        <w:rPr>
          <w:sz w:val="24"/>
        </w:rPr>
        <w:t>Vial.</w:t>
      </w:r>
    </w:p>
    <w:p>
      <w:pPr>
        <w:pStyle w:val="ListParagraph"/>
        <w:numPr>
          <w:ilvl w:val="1"/>
          <w:numId w:val="20"/>
        </w:numPr>
        <w:tabs>
          <w:tab w:pos="927" w:val="left" w:leader="none"/>
        </w:tabs>
        <w:spacing w:line="240" w:lineRule="auto" w:before="0" w:after="0"/>
        <w:ind w:left="938" w:right="123" w:hanging="360"/>
        <w:jc w:val="both"/>
        <w:rPr>
          <w:sz w:val="24"/>
        </w:rPr>
      </w:pPr>
      <w:r>
        <w:rPr>
          <w:sz w:val="24"/>
        </w:rPr>
        <w:t>Las reservas se otorgarán siempre con carácter discrecional, no crean ningún derecho subjetivo a favor de su</w:t>
      </w:r>
      <w:r>
        <w:rPr>
          <w:spacing w:val="-3"/>
          <w:sz w:val="24"/>
        </w:rPr>
        <w:t> </w:t>
      </w:r>
      <w:r>
        <w:rPr>
          <w:sz w:val="24"/>
        </w:rPr>
        <w:t>titular.</w:t>
      </w:r>
    </w:p>
    <w:p>
      <w:pPr>
        <w:pStyle w:val="ListParagraph"/>
        <w:numPr>
          <w:ilvl w:val="1"/>
          <w:numId w:val="20"/>
        </w:numPr>
        <w:tabs>
          <w:tab w:pos="927" w:val="left" w:leader="none"/>
        </w:tabs>
        <w:spacing w:line="240" w:lineRule="auto" w:before="0" w:after="0"/>
        <w:ind w:left="938" w:right="118" w:hanging="360"/>
        <w:jc w:val="both"/>
        <w:rPr>
          <w:sz w:val="24"/>
        </w:rPr>
      </w:pPr>
      <w:r>
        <w:rPr>
          <w:sz w:val="24"/>
        </w:rPr>
        <w:t>La reserva de estacionamiento se autorizará siempre sin perjuicio de tercero. El permiso no crea ningún derecho subjetivo, y su titular podrá ser requerido en todo momento para que lo suprima a su</w:t>
      </w:r>
      <w:r>
        <w:rPr>
          <w:spacing w:val="-5"/>
          <w:sz w:val="24"/>
        </w:rPr>
        <w:t> </w:t>
      </w:r>
      <w:r>
        <w:rPr>
          <w:sz w:val="24"/>
        </w:rPr>
        <w:t>costa.</w:t>
      </w:r>
    </w:p>
    <w:p>
      <w:pPr>
        <w:spacing w:after="0" w:line="240" w:lineRule="auto"/>
        <w:jc w:val="both"/>
        <w:rPr>
          <w:sz w:val="24"/>
        </w:rPr>
        <w:sectPr>
          <w:pgSz w:w="11910" w:h="16840"/>
          <w:pgMar w:header="905" w:footer="0" w:top="2540" w:bottom="280" w:left="1200" w:right="1300"/>
        </w:sectPr>
      </w:pPr>
    </w:p>
    <w:p>
      <w:pPr>
        <w:pStyle w:val="BodyText"/>
        <w:spacing w:before="146"/>
        <w:ind w:left="218"/>
        <w:jc w:val="both"/>
      </w:pPr>
      <w:r>
        <w:rPr/>
        <w:t>4.- No se podrá:</w:t>
      </w:r>
    </w:p>
    <w:p>
      <w:pPr>
        <w:pStyle w:val="ListParagraph"/>
        <w:numPr>
          <w:ilvl w:val="0"/>
          <w:numId w:val="21"/>
        </w:numPr>
        <w:tabs>
          <w:tab w:pos="526" w:val="left" w:leader="none"/>
        </w:tabs>
        <w:spacing w:line="240" w:lineRule="auto" w:before="0" w:after="0"/>
        <w:ind w:left="218" w:right="120" w:firstLine="0"/>
        <w:jc w:val="both"/>
        <w:rPr>
          <w:sz w:val="24"/>
        </w:rPr>
      </w:pPr>
      <w:r>
        <w:rPr>
          <w:sz w:val="24"/>
        </w:rPr>
        <w:t>Cualquier otra forma de acceso al vado fuera de las permitidas, tales como rampas, instalación provisional o circunstancial de elementos móviles, como cuerpos de madera o metálicos, colocación de ladrillos, arena,</w:t>
      </w:r>
      <w:r>
        <w:rPr>
          <w:spacing w:val="2"/>
          <w:sz w:val="24"/>
        </w:rPr>
        <w:t> </w:t>
      </w:r>
      <w:r>
        <w:rPr>
          <w:sz w:val="24"/>
        </w:rPr>
        <w:t>etc.</w:t>
      </w:r>
    </w:p>
    <w:p>
      <w:pPr>
        <w:pStyle w:val="ListParagraph"/>
        <w:numPr>
          <w:ilvl w:val="0"/>
          <w:numId w:val="21"/>
        </w:numPr>
        <w:tabs>
          <w:tab w:pos="498" w:val="left" w:leader="none"/>
        </w:tabs>
        <w:spacing w:line="240" w:lineRule="auto" w:before="0" w:after="0"/>
        <w:ind w:left="218" w:right="120" w:firstLine="0"/>
        <w:jc w:val="both"/>
        <w:rPr>
          <w:sz w:val="24"/>
        </w:rPr>
      </w:pPr>
      <w:r>
        <w:rPr>
          <w:sz w:val="24"/>
        </w:rPr>
        <w:t>El estacionamiento de vehículo no autorizado dentro del horario establecido en la reserva de estacionamiento que en cada caso se señale y cuya indicación deberá figurar en los discos uniformes instalados a tal</w:t>
      </w:r>
      <w:r>
        <w:rPr>
          <w:spacing w:val="-3"/>
          <w:sz w:val="24"/>
        </w:rPr>
        <w:t> </w:t>
      </w:r>
      <w:r>
        <w:rPr>
          <w:sz w:val="24"/>
        </w:rPr>
        <w:t>efecto.</w:t>
      </w:r>
    </w:p>
    <w:p>
      <w:pPr>
        <w:pStyle w:val="BodyText"/>
        <w:rPr>
          <w:sz w:val="26"/>
        </w:rPr>
      </w:pPr>
    </w:p>
    <w:p>
      <w:pPr>
        <w:pStyle w:val="BodyText"/>
        <w:rPr>
          <w:sz w:val="22"/>
        </w:rPr>
      </w:pPr>
    </w:p>
    <w:p>
      <w:pPr>
        <w:pStyle w:val="Heading1"/>
        <w:jc w:val="both"/>
      </w:pPr>
      <w:r>
        <w:rPr/>
        <w:t>CAPITULO V.- RÉGIMEN SANCIONADOR</w:t>
      </w:r>
    </w:p>
    <w:p>
      <w:pPr>
        <w:pStyle w:val="BodyText"/>
        <w:spacing w:before="1"/>
        <w:rPr>
          <w:b/>
        </w:rPr>
      </w:pPr>
    </w:p>
    <w:p>
      <w:pPr>
        <w:spacing w:before="0"/>
        <w:ind w:left="218" w:right="0" w:firstLine="0"/>
        <w:jc w:val="both"/>
        <w:rPr>
          <w:b/>
          <w:sz w:val="24"/>
        </w:rPr>
      </w:pPr>
      <w:r>
        <w:rPr>
          <w:b/>
          <w:sz w:val="24"/>
        </w:rPr>
        <w:t>19.- Sanciones.</w:t>
      </w:r>
    </w:p>
    <w:p>
      <w:pPr>
        <w:pStyle w:val="BodyText"/>
        <w:rPr>
          <w:b/>
        </w:rPr>
      </w:pPr>
    </w:p>
    <w:p>
      <w:pPr>
        <w:pStyle w:val="ListParagraph"/>
        <w:numPr>
          <w:ilvl w:val="0"/>
          <w:numId w:val="22"/>
        </w:numPr>
        <w:tabs>
          <w:tab w:pos="479" w:val="left" w:leader="none"/>
        </w:tabs>
        <w:spacing w:line="240" w:lineRule="auto" w:before="0" w:after="0"/>
        <w:ind w:left="478" w:right="0" w:hanging="261"/>
        <w:jc w:val="both"/>
        <w:rPr>
          <w:sz w:val="24"/>
        </w:rPr>
      </w:pPr>
      <w:r>
        <w:rPr>
          <w:sz w:val="24"/>
        </w:rPr>
        <w:t>Las infracciones de la presente Ordenanza se sancionarán de la siguiente</w:t>
      </w:r>
      <w:r>
        <w:rPr>
          <w:spacing w:val="-6"/>
          <w:sz w:val="24"/>
        </w:rPr>
        <w:t> </w:t>
      </w:r>
      <w:r>
        <w:rPr>
          <w:sz w:val="24"/>
        </w:rPr>
        <w:t>forma:</w:t>
      </w:r>
    </w:p>
    <w:p>
      <w:pPr>
        <w:pStyle w:val="BodyText"/>
      </w:pPr>
    </w:p>
    <w:p>
      <w:pPr>
        <w:pStyle w:val="ListParagraph"/>
        <w:numPr>
          <w:ilvl w:val="0"/>
          <w:numId w:val="23"/>
        </w:numPr>
        <w:tabs>
          <w:tab w:pos="517" w:val="left" w:leader="none"/>
        </w:tabs>
        <w:spacing w:line="240" w:lineRule="auto" w:before="0" w:after="0"/>
        <w:ind w:left="218" w:right="115" w:firstLine="0"/>
        <w:jc w:val="left"/>
        <w:rPr>
          <w:sz w:val="24"/>
        </w:rPr>
      </w:pPr>
      <w:r>
        <w:rPr>
          <w:sz w:val="24"/>
        </w:rPr>
        <w:t>Las infracciones leves, con multa desde trescientos euros (300,00 €) hasta setecientos cincuenta euros (750,00</w:t>
      </w:r>
      <w:r>
        <w:rPr>
          <w:spacing w:val="2"/>
          <w:sz w:val="24"/>
        </w:rPr>
        <w:t> </w:t>
      </w:r>
      <w:r>
        <w:rPr>
          <w:sz w:val="24"/>
        </w:rPr>
        <w:t>€).</w:t>
      </w:r>
    </w:p>
    <w:p>
      <w:pPr>
        <w:pStyle w:val="ListParagraph"/>
        <w:numPr>
          <w:ilvl w:val="0"/>
          <w:numId w:val="23"/>
        </w:numPr>
        <w:tabs>
          <w:tab w:pos="486" w:val="left" w:leader="none"/>
        </w:tabs>
        <w:spacing w:line="240" w:lineRule="auto" w:before="0" w:after="0"/>
        <w:ind w:left="218" w:right="122" w:firstLine="0"/>
        <w:jc w:val="left"/>
        <w:rPr>
          <w:sz w:val="24"/>
        </w:rPr>
      </w:pPr>
      <w:r>
        <w:rPr>
          <w:sz w:val="24"/>
        </w:rPr>
        <w:t>Las infracciones graves, con multa desde setecientos cincuenta y un euros (751,00 €) hasta mil quinientos euros (1.500,00</w:t>
      </w:r>
      <w:r>
        <w:rPr>
          <w:spacing w:val="-1"/>
          <w:sz w:val="24"/>
        </w:rPr>
        <w:t> </w:t>
      </w:r>
      <w:r>
        <w:rPr>
          <w:sz w:val="24"/>
        </w:rPr>
        <w:t>€).</w:t>
      </w:r>
    </w:p>
    <w:p>
      <w:pPr>
        <w:pStyle w:val="ListParagraph"/>
        <w:numPr>
          <w:ilvl w:val="0"/>
          <w:numId w:val="23"/>
        </w:numPr>
        <w:tabs>
          <w:tab w:pos="488" w:val="left" w:leader="none"/>
        </w:tabs>
        <w:spacing w:line="240" w:lineRule="auto" w:before="0" w:after="0"/>
        <w:ind w:left="218" w:right="123" w:firstLine="0"/>
        <w:jc w:val="left"/>
        <w:rPr>
          <w:sz w:val="24"/>
        </w:rPr>
      </w:pPr>
      <w:r>
        <w:rPr>
          <w:sz w:val="24"/>
        </w:rPr>
        <w:t>Las infracciones muy graves, con multa desde mil quinientos un euros (1501,00 €) hasta tres mil euros (3.000,00</w:t>
      </w:r>
      <w:r>
        <w:rPr>
          <w:spacing w:val="-1"/>
          <w:sz w:val="24"/>
        </w:rPr>
        <w:t> </w:t>
      </w:r>
      <w:r>
        <w:rPr>
          <w:sz w:val="24"/>
        </w:rPr>
        <w:t>€).</w:t>
      </w:r>
    </w:p>
    <w:p>
      <w:pPr>
        <w:pStyle w:val="BodyText"/>
      </w:pPr>
    </w:p>
    <w:p>
      <w:pPr>
        <w:pStyle w:val="ListParagraph"/>
        <w:numPr>
          <w:ilvl w:val="0"/>
          <w:numId w:val="22"/>
        </w:numPr>
        <w:tabs>
          <w:tab w:pos="505" w:val="left" w:leader="none"/>
        </w:tabs>
        <w:spacing w:line="240" w:lineRule="auto" w:before="0" w:after="0"/>
        <w:ind w:left="218" w:right="119" w:firstLine="0"/>
        <w:jc w:val="both"/>
        <w:rPr>
          <w:sz w:val="24"/>
        </w:rPr>
      </w:pPr>
      <w:r>
        <w:rPr>
          <w:sz w:val="24"/>
        </w:rPr>
        <w:t>La cuantía de las sanciones se establecerá en atención a las concretas circunstancias que concurran, especialmente el grado de perturbación del daño causado en el uso del dominio público, la conducta reincidente, su resistencia a las órdenes y persistencia en la actividad infractora.</w:t>
      </w:r>
    </w:p>
    <w:p>
      <w:pPr>
        <w:pStyle w:val="BodyText"/>
        <w:spacing w:before="1"/>
      </w:pPr>
    </w:p>
    <w:p>
      <w:pPr>
        <w:pStyle w:val="ListParagraph"/>
        <w:numPr>
          <w:ilvl w:val="0"/>
          <w:numId w:val="22"/>
        </w:numPr>
        <w:tabs>
          <w:tab w:pos="491" w:val="left" w:leader="none"/>
        </w:tabs>
        <w:spacing w:line="240" w:lineRule="auto" w:before="0" w:after="0"/>
        <w:ind w:left="218" w:right="120" w:firstLine="0"/>
        <w:jc w:val="left"/>
        <w:rPr>
          <w:sz w:val="24"/>
        </w:rPr>
      </w:pPr>
      <w:r>
        <w:rPr>
          <w:sz w:val="24"/>
        </w:rPr>
        <w:t>Sin perjuicio de lo anterior, se podrá exigir a los infractores la reposición de la situación a su estado originario y la indemnización de los daños y perjuicios ocasionados, en su</w:t>
      </w:r>
      <w:r>
        <w:rPr>
          <w:spacing w:val="-8"/>
          <w:sz w:val="24"/>
        </w:rPr>
        <w:t> </w:t>
      </w:r>
      <w:r>
        <w:rPr>
          <w:sz w:val="24"/>
        </w:rPr>
        <w:t>caso.</w:t>
      </w:r>
    </w:p>
    <w:p>
      <w:pPr>
        <w:pStyle w:val="BodyText"/>
        <w:rPr>
          <w:sz w:val="26"/>
        </w:rPr>
      </w:pPr>
    </w:p>
    <w:p>
      <w:pPr>
        <w:pStyle w:val="BodyText"/>
        <w:rPr>
          <w:sz w:val="22"/>
        </w:rPr>
      </w:pPr>
    </w:p>
    <w:p>
      <w:pPr>
        <w:pStyle w:val="Heading1"/>
      </w:pPr>
      <w:r>
        <w:rPr/>
        <w:t>20.- Procedimiento.</w:t>
      </w:r>
    </w:p>
    <w:p>
      <w:pPr>
        <w:pStyle w:val="BodyText"/>
        <w:rPr>
          <w:b/>
        </w:rPr>
      </w:pPr>
    </w:p>
    <w:p>
      <w:pPr>
        <w:pStyle w:val="BodyText"/>
        <w:ind w:left="218"/>
      </w:pPr>
      <w:r>
        <w:rPr/>
        <w:t>La potestad sancionadora se ejercerá observando el procedimiento establecido al efecto por la legislación general del procedimiento administrativo común.</w:t>
      </w:r>
    </w:p>
    <w:p>
      <w:pPr>
        <w:pStyle w:val="BodyText"/>
      </w:pPr>
    </w:p>
    <w:p>
      <w:pPr>
        <w:pStyle w:val="Heading1"/>
        <w:ind w:right="212"/>
      </w:pPr>
      <w:r>
        <w:rPr/>
        <w:t>Disposición transitoria primera. Procedimientos iniciados con anterioridad a la entrada en vigor de esta ordenanza.</w:t>
      </w:r>
    </w:p>
    <w:p>
      <w:pPr>
        <w:pStyle w:val="BodyText"/>
        <w:spacing w:before="1"/>
        <w:ind w:left="218" w:right="135"/>
      </w:pPr>
      <w:r>
        <w:rPr/>
        <w:t>Los procedimientos para la autorización de terrazas iniciados con anterioridad a la entrada en vigor de esta ordenanza se regirán por la normativa vigente en el momento de su autorización, siempre que se resuelvan en plazo. En caso contrario, deberá realizarse nueva solicitud.</w:t>
      </w:r>
    </w:p>
    <w:p>
      <w:pPr>
        <w:pStyle w:val="BodyText"/>
      </w:pPr>
    </w:p>
    <w:p>
      <w:pPr>
        <w:pStyle w:val="Heading1"/>
        <w:ind w:right="432"/>
      </w:pPr>
      <w:r>
        <w:rPr/>
        <w:t>Disposición transitoria segunda. Autorizaciones vigentes al momento de la entrada en vigor de esta ordenanza.</w:t>
      </w:r>
    </w:p>
    <w:p>
      <w:pPr>
        <w:spacing w:after="0"/>
        <w:sectPr>
          <w:pgSz w:w="11910" w:h="16840"/>
          <w:pgMar w:header="905" w:footer="0" w:top="2540" w:bottom="280" w:left="1200" w:right="1300"/>
        </w:sectPr>
      </w:pPr>
    </w:p>
    <w:p>
      <w:pPr>
        <w:pStyle w:val="ListParagraph"/>
        <w:numPr>
          <w:ilvl w:val="0"/>
          <w:numId w:val="24"/>
        </w:numPr>
        <w:tabs>
          <w:tab w:pos="507" w:val="left" w:leader="none"/>
        </w:tabs>
        <w:spacing w:line="240" w:lineRule="auto" w:before="146" w:after="0"/>
        <w:ind w:left="218" w:right="121" w:firstLine="0"/>
        <w:jc w:val="both"/>
        <w:rPr>
          <w:sz w:val="24"/>
        </w:rPr>
      </w:pPr>
      <w:r>
        <w:rPr>
          <w:sz w:val="24"/>
        </w:rPr>
        <w:t>Los titulares de autorizaciones en vigor para la instalación de terraza en suelo de uso público dispondrán de un plazo de un año, a partir de la entrada en vigor de esta ordenanza, para adaptarse a lo dispuesto en la</w:t>
      </w:r>
      <w:r>
        <w:rPr>
          <w:spacing w:val="-5"/>
          <w:sz w:val="24"/>
        </w:rPr>
        <w:t> </w:t>
      </w:r>
      <w:r>
        <w:rPr>
          <w:sz w:val="24"/>
        </w:rPr>
        <w:t>misma.</w:t>
      </w:r>
    </w:p>
    <w:p>
      <w:pPr>
        <w:pStyle w:val="ListParagraph"/>
        <w:numPr>
          <w:ilvl w:val="0"/>
          <w:numId w:val="24"/>
        </w:numPr>
        <w:tabs>
          <w:tab w:pos="531" w:val="left" w:leader="none"/>
        </w:tabs>
        <w:spacing w:line="240" w:lineRule="auto" w:before="0" w:after="0"/>
        <w:ind w:left="218" w:right="121" w:firstLine="0"/>
        <w:jc w:val="both"/>
        <w:rPr>
          <w:sz w:val="24"/>
        </w:rPr>
      </w:pPr>
      <w:r>
        <w:rPr>
          <w:sz w:val="24"/>
        </w:rPr>
        <w:t>Si durante el plazo de vigencia de una autorización ya concedida, el titular decide voluntariamente renovar cualquiera de los elementos autorizados para la instalación de la terraza, deberá adaptarse a las nuevas características técnicas y calidades de esta</w:t>
      </w:r>
      <w:r>
        <w:rPr>
          <w:spacing w:val="-13"/>
          <w:sz w:val="24"/>
        </w:rPr>
        <w:t> </w:t>
      </w:r>
      <w:r>
        <w:rPr>
          <w:sz w:val="24"/>
        </w:rPr>
        <w:t>ordenanza.</w:t>
      </w:r>
    </w:p>
    <w:p>
      <w:pPr>
        <w:pStyle w:val="BodyText"/>
        <w:rPr>
          <w:sz w:val="26"/>
        </w:rPr>
      </w:pPr>
    </w:p>
    <w:p>
      <w:pPr>
        <w:pStyle w:val="BodyText"/>
        <w:rPr>
          <w:sz w:val="26"/>
        </w:rPr>
      </w:pPr>
    </w:p>
    <w:p>
      <w:pPr>
        <w:spacing w:before="232"/>
        <w:ind w:left="3742" w:right="4640" w:firstLine="0"/>
        <w:jc w:val="center"/>
        <w:rPr>
          <w:rFonts w:ascii="Arial"/>
          <w:b/>
          <w:sz w:val="24"/>
        </w:rPr>
      </w:pPr>
      <w:r>
        <w:rPr>
          <w:rFonts w:ascii="Arial"/>
          <w:b/>
          <w:sz w:val="24"/>
          <w:u w:val="thick"/>
        </w:rPr>
        <w:t>ANEXO I</w:t>
      </w:r>
    </w:p>
    <w:p>
      <w:pPr>
        <w:pStyle w:val="BodyText"/>
        <w:rPr>
          <w:rFonts w:ascii="Arial"/>
          <w:b/>
          <w:sz w:val="16"/>
        </w:rPr>
      </w:pPr>
    </w:p>
    <w:p>
      <w:pPr>
        <w:spacing w:before="92"/>
        <w:ind w:left="218" w:right="135" w:firstLine="0"/>
        <w:jc w:val="left"/>
        <w:rPr>
          <w:rFonts w:ascii="Arial" w:hAnsi="Arial"/>
          <w:b/>
          <w:sz w:val="24"/>
        </w:rPr>
      </w:pPr>
      <w:r>
        <w:rPr>
          <w:rFonts w:ascii="Arial" w:hAnsi="Arial"/>
          <w:b/>
          <w:sz w:val="24"/>
        </w:rPr>
        <w:t>CONDICIONES TÉCNICAS SOBRE EL MATERIAL Y DISEÑO DEL MOBILIARIO DE TERRAZA</w:t>
      </w:r>
    </w:p>
    <w:p>
      <w:pPr>
        <w:pStyle w:val="BodyText"/>
        <w:rPr>
          <w:rFonts w:ascii="Arial"/>
          <w:b/>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5"/>
        <w:gridCol w:w="1642"/>
        <w:gridCol w:w="1733"/>
        <w:gridCol w:w="1873"/>
        <w:gridCol w:w="2310"/>
      </w:tblGrid>
      <w:tr>
        <w:trPr>
          <w:trHeight w:val="277" w:hRule="atLeast"/>
        </w:trPr>
        <w:tc>
          <w:tcPr>
            <w:tcW w:w="1505" w:type="dxa"/>
            <w:shd w:val="clear" w:color="auto" w:fill="D9D9D9"/>
          </w:tcPr>
          <w:p>
            <w:pPr>
              <w:pStyle w:val="TableParagraph"/>
              <w:rPr>
                <w:rFonts w:ascii="Times New Roman"/>
                <w:sz w:val="20"/>
              </w:rPr>
            </w:pPr>
          </w:p>
        </w:tc>
        <w:tc>
          <w:tcPr>
            <w:tcW w:w="1642" w:type="dxa"/>
            <w:shd w:val="clear" w:color="auto" w:fill="D9D9D9"/>
          </w:tcPr>
          <w:p>
            <w:pPr>
              <w:pStyle w:val="TableParagraph"/>
              <w:rPr>
                <w:rFonts w:ascii="Times New Roman"/>
                <w:sz w:val="20"/>
              </w:rPr>
            </w:pPr>
          </w:p>
        </w:tc>
        <w:tc>
          <w:tcPr>
            <w:tcW w:w="1733" w:type="dxa"/>
          </w:tcPr>
          <w:p>
            <w:pPr>
              <w:pStyle w:val="TableParagraph"/>
              <w:spacing w:line="255" w:lineRule="exact" w:before="2"/>
              <w:ind w:left="107"/>
              <w:rPr>
                <w:b/>
                <w:sz w:val="24"/>
              </w:rPr>
            </w:pPr>
            <w:r>
              <w:rPr>
                <w:b/>
                <w:sz w:val="24"/>
              </w:rPr>
              <w:t>TIPO</w:t>
            </w:r>
          </w:p>
        </w:tc>
        <w:tc>
          <w:tcPr>
            <w:tcW w:w="1873" w:type="dxa"/>
          </w:tcPr>
          <w:p>
            <w:pPr>
              <w:pStyle w:val="TableParagraph"/>
              <w:spacing w:line="255" w:lineRule="exact" w:before="2"/>
              <w:ind w:left="107"/>
              <w:rPr>
                <w:b/>
                <w:sz w:val="24"/>
              </w:rPr>
            </w:pPr>
            <w:r>
              <w:rPr>
                <w:b/>
                <w:sz w:val="24"/>
              </w:rPr>
              <w:t>ESTRUCTURA</w:t>
            </w:r>
          </w:p>
        </w:tc>
        <w:tc>
          <w:tcPr>
            <w:tcW w:w="2310" w:type="dxa"/>
          </w:tcPr>
          <w:p>
            <w:pPr>
              <w:pStyle w:val="TableParagraph"/>
              <w:spacing w:line="255" w:lineRule="exact" w:before="2"/>
              <w:ind w:left="104"/>
              <w:rPr>
                <w:b/>
                <w:sz w:val="24"/>
              </w:rPr>
            </w:pPr>
            <w:r>
              <w:rPr>
                <w:b/>
                <w:sz w:val="24"/>
              </w:rPr>
              <w:t>COMPLEMENTOS</w:t>
            </w:r>
          </w:p>
        </w:tc>
      </w:tr>
      <w:tr>
        <w:trPr>
          <w:trHeight w:val="2988" w:hRule="atLeast"/>
        </w:trPr>
        <w:tc>
          <w:tcPr>
            <w:tcW w:w="1505" w:type="dxa"/>
            <w:vMerge w:val="restart"/>
            <w:textDirection w:val="btLr"/>
          </w:tcPr>
          <w:p>
            <w:pPr>
              <w:pStyle w:val="TableParagraph"/>
              <w:spacing w:before="110"/>
              <w:ind w:left="1999"/>
              <w:rPr>
                <w:b/>
                <w:sz w:val="24"/>
              </w:rPr>
            </w:pPr>
            <w:r>
              <w:rPr>
                <w:b/>
                <w:sz w:val="24"/>
              </w:rPr>
              <w:t>MOBILIARIO GENERAL</w:t>
            </w:r>
          </w:p>
        </w:tc>
        <w:tc>
          <w:tcPr>
            <w:tcW w:w="1642" w:type="dxa"/>
          </w:tcPr>
          <w:p>
            <w:pPr>
              <w:pStyle w:val="TableParagraph"/>
              <w:rPr>
                <w:b/>
                <w:sz w:val="26"/>
              </w:rPr>
            </w:pPr>
          </w:p>
          <w:p>
            <w:pPr>
              <w:pStyle w:val="TableParagraph"/>
              <w:rPr>
                <w:b/>
                <w:sz w:val="26"/>
              </w:rPr>
            </w:pPr>
          </w:p>
          <w:p>
            <w:pPr>
              <w:pStyle w:val="TableParagraph"/>
              <w:rPr>
                <w:b/>
                <w:sz w:val="26"/>
              </w:rPr>
            </w:pPr>
          </w:p>
          <w:p>
            <w:pPr>
              <w:pStyle w:val="TableParagraph"/>
              <w:spacing w:before="207"/>
              <w:ind w:left="105"/>
              <w:rPr>
                <w:b/>
                <w:sz w:val="24"/>
              </w:rPr>
            </w:pPr>
            <w:r>
              <w:rPr>
                <w:b/>
                <w:sz w:val="24"/>
              </w:rPr>
              <w:t>MESA</w:t>
            </w:r>
          </w:p>
        </w:tc>
        <w:tc>
          <w:tcPr>
            <w:tcW w:w="1733" w:type="dxa"/>
          </w:tcPr>
          <w:p>
            <w:pPr>
              <w:pStyle w:val="TableParagraph"/>
              <w:ind w:left="107" w:right="97"/>
              <w:jc w:val="both"/>
              <w:rPr>
                <w:sz w:val="20"/>
              </w:rPr>
            </w:pPr>
            <w:r>
              <w:rPr>
                <w:sz w:val="20"/>
              </w:rPr>
              <w:t>Apilable y ligera para facilitar su retirada al cierre de la actividad.</w:t>
            </w:r>
          </w:p>
          <w:p>
            <w:pPr>
              <w:pStyle w:val="TableParagraph"/>
              <w:spacing w:before="10"/>
              <w:rPr>
                <w:b/>
                <w:sz w:val="19"/>
              </w:rPr>
            </w:pPr>
          </w:p>
          <w:p>
            <w:pPr>
              <w:pStyle w:val="TableParagraph"/>
              <w:spacing w:line="229" w:lineRule="exact"/>
              <w:ind w:left="107"/>
              <w:rPr>
                <w:sz w:val="20"/>
              </w:rPr>
            </w:pPr>
            <w:r>
              <w:rPr>
                <w:sz w:val="20"/>
              </w:rPr>
              <w:t>TABLERO:</w:t>
            </w:r>
          </w:p>
          <w:p>
            <w:pPr>
              <w:pStyle w:val="TableParagraph"/>
              <w:tabs>
                <w:tab w:pos="1401" w:val="left" w:leader="none"/>
              </w:tabs>
              <w:ind w:left="107" w:right="98"/>
              <w:rPr>
                <w:sz w:val="20"/>
              </w:rPr>
            </w:pPr>
            <w:r>
              <w:rPr>
                <w:sz w:val="20"/>
              </w:rPr>
              <w:t>Conglomerado semisintético compacto, madera u </w:t>
            </w:r>
            <w:r>
              <w:rPr>
                <w:spacing w:val="-4"/>
                <w:sz w:val="20"/>
              </w:rPr>
              <w:t>otro </w:t>
            </w:r>
            <w:r>
              <w:rPr>
                <w:sz w:val="20"/>
              </w:rPr>
              <w:t>material</w:t>
              <w:tab/>
            </w:r>
            <w:r>
              <w:rPr>
                <w:spacing w:val="-9"/>
                <w:sz w:val="20"/>
              </w:rPr>
              <w:t>de</w:t>
            </w:r>
          </w:p>
          <w:p>
            <w:pPr>
              <w:pStyle w:val="TableParagraph"/>
              <w:spacing w:line="228" w:lineRule="exact" w:before="7"/>
              <w:ind w:left="107"/>
              <w:rPr>
                <w:sz w:val="20"/>
              </w:rPr>
            </w:pPr>
            <w:r>
              <w:rPr>
                <w:sz w:val="20"/>
              </w:rPr>
              <w:t>calidad similar o superior.</w:t>
            </w:r>
          </w:p>
        </w:tc>
        <w:tc>
          <w:tcPr>
            <w:tcW w:w="1873" w:type="dxa"/>
          </w:tcPr>
          <w:p>
            <w:pPr>
              <w:pStyle w:val="TableParagraph"/>
              <w:rPr>
                <w:b/>
                <w:sz w:val="22"/>
              </w:rPr>
            </w:pPr>
          </w:p>
          <w:p>
            <w:pPr>
              <w:pStyle w:val="TableParagraph"/>
              <w:rPr>
                <w:b/>
                <w:sz w:val="22"/>
              </w:rPr>
            </w:pPr>
          </w:p>
          <w:p>
            <w:pPr>
              <w:pStyle w:val="TableParagraph"/>
              <w:spacing w:before="182"/>
              <w:ind w:left="107"/>
              <w:rPr>
                <w:sz w:val="20"/>
              </w:rPr>
            </w:pPr>
            <w:r>
              <w:rPr>
                <w:sz w:val="20"/>
              </w:rPr>
              <w:t>MATERIAL:</w:t>
            </w:r>
          </w:p>
          <w:p>
            <w:pPr>
              <w:pStyle w:val="TableParagraph"/>
              <w:tabs>
                <w:tab w:pos="1537" w:val="left" w:leader="none"/>
              </w:tabs>
              <w:ind w:left="107" w:right="102"/>
              <w:jc w:val="both"/>
              <w:rPr>
                <w:sz w:val="20"/>
              </w:rPr>
            </w:pPr>
            <w:r>
              <w:rPr>
                <w:sz w:val="20"/>
              </w:rPr>
              <w:t>Aluminio, fundición</w:t>
              <w:tab/>
            </w:r>
            <w:r>
              <w:rPr>
                <w:spacing w:val="-9"/>
                <w:sz w:val="20"/>
              </w:rPr>
              <w:t>de</w:t>
            </w:r>
          </w:p>
          <w:p>
            <w:pPr>
              <w:pStyle w:val="TableParagraph"/>
              <w:spacing w:line="228" w:lineRule="exact"/>
              <w:ind w:left="107"/>
              <w:jc w:val="both"/>
              <w:rPr>
                <w:sz w:val="20"/>
              </w:rPr>
            </w:pPr>
            <w:r>
              <w:rPr>
                <w:sz w:val="20"/>
              </w:rPr>
              <w:t>aluminio,     </w:t>
            </w:r>
            <w:r>
              <w:rPr>
                <w:spacing w:val="10"/>
                <w:sz w:val="20"/>
              </w:rPr>
              <w:t> </w:t>
            </w:r>
            <w:r>
              <w:rPr>
                <w:sz w:val="20"/>
              </w:rPr>
              <w:t>acero</w:t>
            </w:r>
          </w:p>
          <w:p>
            <w:pPr>
              <w:pStyle w:val="TableParagraph"/>
              <w:tabs>
                <w:tab w:pos="1647" w:val="left" w:leader="none"/>
              </w:tabs>
              <w:spacing w:before="1"/>
              <w:ind w:left="107"/>
              <w:jc w:val="both"/>
              <w:rPr>
                <w:sz w:val="20"/>
              </w:rPr>
            </w:pPr>
            <w:r>
              <w:rPr>
                <w:sz w:val="20"/>
              </w:rPr>
              <w:t>inoxidable</w:t>
              <w:tab/>
              <w:t>o</w:t>
            </w:r>
          </w:p>
          <w:p>
            <w:pPr>
              <w:pStyle w:val="TableParagraph"/>
              <w:tabs>
                <w:tab w:pos="1537" w:val="left" w:leader="none"/>
              </w:tabs>
              <w:ind w:left="107" w:right="102"/>
              <w:jc w:val="both"/>
              <w:rPr>
                <w:sz w:val="20"/>
              </w:rPr>
            </w:pPr>
            <w:r>
              <w:rPr>
                <w:sz w:val="20"/>
              </w:rPr>
              <w:t>material</w:t>
              <w:tab/>
            </w:r>
            <w:r>
              <w:rPr>
                <w:spacing w:val="-9"/>
                <w:sz w:val="20"/>
              </w:rPr>
              <w:t>de </w:t>
            </w:r>
            <w:r>
              <w:rPr>
                <w:sz w:val="20"/>
              </w:rPr>
              <w:t>calidad similar </w:t>
            </w:r>
            <w:r>
              <w:rPr>
                <w:spacing w:val="-13"/>
                <w:sz w:val="20"/>
              </w:rPr>
              <w:t>o </w:t>
            </w:r>
            <w:r>
              <w:rPr>
                <w:sz w:val="20"/>
              </w:rPr>
              <w:t>superior.</w:t>
            </w:r>
          </w:p>
        </w:tc>
        <w:tc>
          <w:tcPr>
            <w:tcW w:w="2310" w:type="dxa"/>
          </w:tcPr>
          <w:p>
            <w:pPr>
              <w:pStyle w:val="TableParagraph"/>
              <w:rPr>
                <w:b/>
                <w:sz w:val="22"/>
              </w:rPr>
            </w:pPr>
          </w:p>
          <w:p>
            <w:pPr>
              <w:pStyle w:val="TableParagraph"/>
              <w:rPr>
                <w:b/>
                <w:sz w:val="22"/>
              </w:rPr>
            </w:pPr>
          </w:p>
          <w:p>
            <w:pPr>
              <w:pStyle w:val="TableParagraph"/>
              <w:spacing w:before="182"/>
              <w:ind w:left="104"/>
              <w:rPr>
                <w:sz w:val="20"/>
              </w:rPr>
            </w:pPr>
            <w:r>
              <w:rPr>
                <w:sz w:val="20"/>
              </w:rPr>
              <w:t>PROTECCIÓN:</w:t>
            </w:r>
          </w:p>
          <w:p>
            <w:pPr>
              <w:pStyle w:val="TableParagraph"/>
              <w:ind w:left="104" w:right="101"/>
              <w:jc w:val="both"/>
              <w:rPr>
                <w:sz w:val="20"/>
              </w:rPr>
            </w:pPr>
            <w:r>
              <w:rPr>
                <w:sz w:val="20"/>
              </w:rPr>
              <w:t>Deberá tener tacos </w:t>
            </w:r>
            <w:r>
              <w:rPr>
                <w:spacing w:val="-14"/>
                <w:sz w:val="20"/>
              </w:rPr>
              <w:t>o </w:t>
            </w:r>
            <w:r>
              <w:rPr>
                <w:sz w:val="20"/>
              </w:rPr>
              <w:t>elementos que eviten el ruido ante </w:t>
            </w:r>
            <w:r>
              <w:rPr>
                <w:spacing w:val="-7"/>
                <w:sz w:val="20"/>
              </w:rPr>
              <w:t>el </w:t>
            </w:r>
            <w:r>
              <w:rPr>
                <w:sz w:val="20"/>
              </w:rPr>
              <w:t>apilamiento o </w:t>
            </w:r>
            <w:r>
              <w:rPr>
                <w:spacing w:val="-7"/>
                <w:sz w:val="20"/>
              </w:rPr>
              <w:t>el </w:t>
            </w:r>
            <w:r>
              <w:rPr>
                <w:sz w:val="20"/>
              </w:rPr>
              <w:t>contacto con el</w:t>
            </w:r>
            <w:r>
              <w:rPr>
                <w:spacing w:val="-7"/>
                <w:sz w:val="20"/>
              </w:rPr>
              <w:t> </w:t>
            </w:r>
            <w:r>
              <w:rPr>
                <w:sz w:val="20"/>
              </w:rPr>
              <w:t>suelo.</w:t>
            </w:r>
          </w:p>
        </w:tc>
      </w:tr>
      <w:tr>
        <w:trPr>
          <w:trHeight w:val="3679" w:hRule="atLeast"/>
        </w:trPr>
        <w:tc>
          <w:tcPr>
            <w:tcW w:w="1505" w:type="dxa"/>
            <w:vMerge/>
            <w:tcBorders>
              <w:top w:val="nil"/>
            </w:tcBorders>
            <w:textDirection w:val="btLr"/>
          </w:tcPr>
          <w:p>
            <w:pPr>
              <w:rPr>
                <w:sz w:val="2"/>
                <w:szCs w:val="2"/>
              </w:rPr>
            </w:pPr>
          </w:p>
        </w:tc>
        <w:tc>
          <w:tcPr>
            <w:tcW w:w="164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84"/>
              <w:ind w:left="105"/>
              <w:rPr>
                <w:b/>
                <w:sz w:val="24"/>
              </w:rPr>
            </w:pPr>
            <w:r>
              <w:rPr>
                <w:b/>
                <w:sz w:val="24"/>
              </w:rPr>
              <w:t>SILLA</w:t>
            </w:r>
          </w:p>
        </w:tc>
        <w:tc>
          <w:tcPr>
            <w:tcW w:w="1733" w:type="dxa"/>
          </w:tcPr>
          <w:p>
            <w:pPr>
              <w:pStyle w:val="TableParagraph"/>
              <w:ind w:left="107" w:right="98"/>
              <w:jc w:val="both"/>
              <w:rPr>
                <w:sz w:val="20"/>
              </w:rPr>
            </w:pPr>
            <w:r>
              <w:rPr>
                <w:sz w:val="20"/>
              </w:rPr>
              <w:t>RESPALDO Y ASIENTO:</w:t>
            </w:r>
          </w:p>
          <w:p>
            <w:pPr>
              <w:pStyle w:val="TableParagraph"/>
              <w:tabs>
                <w:tab w:pos="1354" w:val="left" w:leader="none"/>
                <w:tab w:pos="1401" w:val="left" w:leader="none"/>
              </w:tabs>
              <w:ind w:left="107" w:right="98"/>
              <w:jc w:val="both"/>
              <w:rPr>
                <w:sz w:val="20"/>
              </w:rPr>
            </w:pPr>
            <w:r>
              <w:rPr>
                <w:sz w:val="20"/>
              </w:rPr>
              <w:t>Material</w:t>
              <w:tab/>
              <w:tab/>
            </w:r>
            <w:r>
              <w:rPr>
                <w:spacing w:val="-9"/>
                <w:sz w:val="20"/>
              </w:rPr>
              <w:t>de </w:t>
            </w:r>
            <w:r>
              <w:rPr>
                <w:sz w:val="20"/>
              </w:rPr>
              <w:t>calidad superior a justificar </w:t>
            </w:r>
            <w:r>
              <w:rPr>
                <w:spacing w:val="-7"/>
                <w:sz w:val="20"/>
              </w:rPr>
              <w:t>en </w:t>
            </w:r>
            <w:r>
              <w:rPr>
                <w:sz w:val="20"/>
              </w:rPr>
              <w:t>razón</w:t>
              <w:tab/>
            </w:r>
            <w:r>
              <w:rPr>
                <w:spacing w:val="-6"/>
                <w:sz w:val="20"/>
              </w:rPr>
              <w:t>del </w:t>
            </w:r>
            <w:r>
              <w:rPr>
                <w:sz w:val="20"/>
              </w:rPr>
              <w:t>entorno</w:t>
            </w:r>
            <w:r>
              <w:rPr>
                <w:spacing w:val="-3"/>
                <w:sz w:val="20"/>
              </w:rPr>
              <w:t> </w:t>
            </w:r>
            <w:r>
              <w:rPr>
                <w:sz w:val="20"/>
              </w:rPr>
              <w:t>urbano.</w:t>
            </w:r>
          </w:p>
          <w:p>
            <w:pPr>
              <w:pStyle w:val="TableParagraph"/>
              <w:spacing w:before="9"/>
              <w:rPr>
                <w:b/>
                <w:sz w:val="19"/>
              </w:rPr>
            </w:pPr>
          </w:p>
          <w:p>
            <w:pPr>
              <w:pStyle w:val="TableParagraph"/>
              <w:ind w:left="107"/>
              <w:jc w:val="both"/>
              <w:rPr>
                <w:sz w:val="20"/>
              </w:rPr>
            </w:pPr>
            <w:r>
              <w:rPr>
                <w:sz w:val="20"/>
              </w:rPr>
              <w:t>APILABLE:      </w:t>
            </w:r>
            <w:r>
              <w:rPr>
                <w:spacing w:val="20"/>
                <w:sz w:val="20"/>
              </w:rPr>
              <w:t> </w:t>
            </w:r>
            <w:r>
              <w:rPr>
                <w:sz w:val="20"/>
              </w:rPr>
              <w:t>y</w:t>
            </w:r>
          </w:p>
          <w:p>
            <w:pPr>
              <w:pStyle w:val="TableParagraph"/>
              <w:tabs>
                <w:tab w:pos="1223" w:val="left" w:leader="none"/>
              </w:tabs>
              <w:spacing w:before="1"/>
              <w:ind w:left="107"/>
              <w:jc w:val="both"/>
              <w:rPr>
                <w:sz w:val="20"/>
              </w:rPr>
            </w:pPr>
            <w:r>
              <w:rPr>
                <w:sz w:val="20"/>
              </w:rPr>
              <w:t>ligera</w:t>
              <w:tab/>
              <w:t>para</w:t>
            </w:r>
          </w:p>
          <w:p>
            <w:pPr>
              <w:pStyle w:val="TableParagraph"/>
              <w:tabs>
                <w:tab w:pos="1299" w:val="left" w:leader="none"/>
                <w:tab w:pos="1410" w:val="left" w:leader="none"/>
              </w:tabs>
              <w:ind w:left="107" w:right="98"/>
              <w:jc w:val="both"/>
              <w:rPr>
                <w:sz w:val="20"/>
              </w:rPr>
            </w:pPr>
            <w:r>
              <w:rPr>
                <w:sz w:val="20"/>
              </w:rPr>
              <w:t>facilitar</w:t>
              <w:tab/>
              <w:tab/>
            </w:r>
            <w:r>
              <w:rPr>
                <w:spacing w:val="-9"/>
                <w:sz w:val="20"/>
              </w:rPr>
              <w:t>su </w:t>
            </w:r>
            <w:r>
              <w:rPr>
                <w:sz w:val="20"/>
              </w:rPr>
              <w:t>retirada al cierre de la actividad. Silla</w:t>
              <w:tab/>
            </w:r>
            <w:r>
              <w:rPr>
                <w:spacing w:val="-6"/>
                <w:sz w:val="20"/>
              </w:rPr>
              <w:t>con</w:t>
            </w:r>
          </w:p>
          <w:p>
            <w:pPr>
              <w:pStyle w:val="TableParagraph"/>
              <w:tabs>
                <w:tab w:pos="1522" w:val="left" w:leader="none"/>
              </w:tabs>
              <w:spacing w:line="230" w:lineRule="exact" w:before="4"/>
              <w:ind w:left="107" w:right="98"/>
              <w:jc w:val="both"/>
              <w:rPr>
                <w:sz w:val="20"/>
              </w:rPr>
            </w:pPr>
            <w:r>
              <w:rPr>
                <w:sz w:val="20"/>
              </w:rPr>
              <w:t>respaldo</w:t>
              <w:tab/>
            </w:r>
            <w:r>
              <w:rPr>
                <w:spacing w:val="-17"/>
                <w:sz w:val="20"/>
              </w:rPr>
              <w:t>y </w:t>
            </w:r>
            <w:r>
              <w:rPr>
                <w:sz w:val="20"/>
              </w:rPr>
              <w:t>brazos.</w:t>
            </w:r>
          </w:p>
        </w:tc>
        <w:tc>
          <w:tcPr>
            <w:tcW w:w="1873" w:type="dxa"/>
          </w:tcPr>
          <w:p>
            <w:pPr>
              <w:pStyle w:val="TableParagraph"/>
              <w:rPr>
                <w:b/>
                <w:sz w:val="22"/>
              </w:rPr>
            </w:pPr>
          </w:p>
          <w:p>
            <w:pPr>
              <w:pStyle w:val="TableParagraph"/>
              <w:rPr>
                <w:b/>
                <w:sz w:val="22"/>
              </w:rPr>
            </w:pPr>
          </w:p>
          <w:p>
            <w:pPr>
              <w:pStyle w:val="TableParagraph"/>
              <w:rPr>
                <w:b/>
                <w:sz w:val="22"/>
              </w:rPr>
            </w:pPr>
          </w:p>
          <w:p>
            <w:pPr>
              <w:pStyle w:val="TableParagraph"/>
              <w:spacing w:before="159"/>
              <w:ind w:left="107"/>
              <w:rPr>
                <w:sz w:val="20"/>
              </w:rPr>
            </w:pPr>
            <w:r>
              <w:rPr>
                <w:sz w:val="20"/>
              </w:rPr>
              <w:t>MATERIAL:</w:t>
            </w:r>
          </w:p>
          <w:p>
            <w:pPr>
              <w:pStyle w:val="TableParagraph"/>
              <w:tabs>
                <w:tab w:pos="1042" w:val="left" w:leader="none"/>
                <w:tab w:pos="1414" w:val="left" w:leader="none"/>
                <w:tab w:pos="1537" w:val="left" w:leader="none"/>
              </w:tabs>
              <w:spacing w:before="1"/>
              <w:ind w:left="107" w:right="102"/>
              <w:rPr>
                <w:sz w:val="20"/>
              </w:rPr>
            </w:pPr>
            <w:r>
              <w:rPr>
                <w:sz w:val="20"/>
              </w:rPr>
              <w:t>Aluminio, fundición</w:t>
              <w:tab/>
              <w:tab/>
              <w:tab/>
            </w:r>
            <w:r>
              <w:rPr>
                <w:spacing w:val="-9"/>
                <w:sz w:val="20"/>
              </w:rPr>
              <w:t>de </w:t>
            </w:r>
            <w:r>
              <w:rPr>
                <w:sz w:val="20"/>
              </w:rPr>
              <w:t>aluminio, polipropileno, madera</w:t>
              <w:tab/>
              <w:t>u</w:t>
              <w:tab/>
            </w:r>
            <w:r>
              <w:rPr>
                <w:spacing w:val="-5"/>
                <w:sz w:val="20"/>
              </w:rPr>
              <w:t>otro </w:t>
            </w:r>
            <w:r>
              <w:rPr>
                <w:sz w:val="20"/>
              </w:rPr>
              <w:t>material</w:t>
              <w:tab/>
              <w:tab/>
              <w:tab/>
            </w:r>
            <w:r>
              <w:rPr>
                <w:spacing w:val="-9"/>
                <w:sz w:val="20"/>
              </w:rPr>
              <w:t>de </w:t>
            </w:r>
            <w:r>
              <w:rPr>
                <w:sz w:val="20"/>
              </w:rPr>
              <w:t>calidad</w:t>
            </w:r>
            <w:r>
              <w:rPr>
                <w:spacing w:val="-3"/>
                <w:sz w:val="20"/>
              </w:rPr>
              <w:t> </w:t>
            </w:r>
            <w:r>
              <w:rPr>
                <w:sz w:val="20"/>
              </w:rPr>
              <w:t>superior.</w:t>
            </w:r>
          </w:p>
        </w:tc>
        <w:tc>
          <w:tcPr>
            <w:tcW w:w="2310" w:type="dxa"/>
          </w:tcPr>
          <w:p>
            <w:pPr>
              <w:pStyle w:val="TableParagraph"/>
              <w:rPr>
                <w:b/>
                <w:sz w:val="22"/>
              </w:rPr>
            </w:pPr>
          </w:p>
          <w:p>
            <w:pPr>
              <w:pStyle w:val="TableParagraph"/>
              <w:rPr>
                <w:b/>
                <w:sz w:val="22"/>
              </w:rPr>
            </w:pPr>
          </w:p>
          <w:p>
            <w:pPr>
              <w:pStyle w:val="TableParagraph"/>
              <w:rPr>
                <w:b/>
                <w:sz w:val="22"/>
              </w:rPr>
            </w:pPr>
          </w:p>
          <w:p>
            <w:pPr>
              <w:pStyle w:val="TableParagraph"/>
              <w:spacing w:before="159"/>
              <w:ind w:left="104"/>
              <w:rPr>
                <w:sz w:val="20"/>
              </w:rPr>
            </w:pPr>
            <w:r>
              <w:rPr>
                <w:sz w:val="20"/>
              </w:rPr>
              <w:t>PROTECCIÓN:</w:t>
            </w:r>
          </w:p>
          <w:p>
            <w:pPr>
              <w:pStyle w:val="TableParagraph"/>
              <w:spacing w:before="1"/>
              <w:ind w:left="104" w:right="101"/>
              <w:jc w:val="both"/>
              <w:rPr>
                <w:sz w:val="20"/>
              </w:rPr>
            </w:pPr>
            <w:r>
              <w:rPr>
                <w:sz w:val="20"/>
              </w:rPr>
              <w:t>Deberá tener tacos </w:t>
            </w:r>
            <w:r>
              <w:rPr>
                <w:spacing w:val="-14"/>
                <w:sz w:val="20"/>
              </w:rPr>
              <w:t>o </w:t>
            </w:r>
            <w:r>
              <w:rPr>
                <w:sz w:val="20"/>
              </w:rPr>
              <w:t>elementos que eviten el ruido durante </w:t>
            </w:r>
            <w:r>
              <w:rPr>
                <w:spacing w:val="-6"/>
                <w:sz w:val="20"/>
              </w:rPr>
              <w:t>el </w:t>
            </w:r>
            <w:r>
              <w:rPr>
                <w:sz w:val="20"/>
              </w:rPr>
              <w:t>apilamiento o en </w:t>
            </w:r>
            <w:r>
              <w:rPr>
                <w:spacing w:val="-6"/>
                <w:sz w:val="20"/>
              </w:rPr>
              <w:t>el </w:t>
            </w:r>
            <w:r>
              <w:rPr>
                <w:sz w:val="20"/>
              </w:rPr>
              <w:t>contacto con el</w:t>
            </w:r>
            <w:r>
              <w:rPr>
                <w:spacing w:val="-7"/>
                <w:sz w:val="20"/>
              </w:rPr>
              <w:t> </w:t>
            </w:r>
            <w:r>
              <w:rPr>
                <w:sz w:val="20"/>
              </w:rPr>
              <w:t>suelo.</w:t>
            </w:r>
          </w:p>
        </w:tc>
      </w:tr>
    </w:tbl>
    <w:p>
      <w:pPr>
        <w:spacing w:after="0"/>
        <w:jc w:val="both"/>
        <w:rPr>
          <w:sz w:val="20"/>
        </w:rPr>
        <w:sectPr>
          <w:pgSz w:w="11910" w:h="16840"/>
          <w:pgMar w:header="905" w:footer="0" w:top="2540" w:bottom="280" w:left="1200" w:right="130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6"/>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5"/>
        <w:gridCol w:w="1642"/>
        <w:gridCol w:w="1733"/>
        <w:gridCol w:w="1873"/>
        <w:gridCol w:w="2310"/>
      </w:tblGrid>
      <w:tr>
        <w:trPr>
          <w:trHeight w:val="277" w:hRule="atLeast"/>
        </w:trPr>
        <w:tc>
          <w:tcPr>
            <w:tcW w:w="1505" w:type="dxa"/>
            <w:shd w:val="clear" w:color="auto" w:fill="D9D9D9"/>
          </w:tcPr>
          <w:p>
            <w:pPr>
              <w:pStyle w:val="TableParagraph"/>
              <w:rPr>
                <w:rFonts w:ascii="Times New Roman"/>
                <w:sz w:val="20"/>
              </w:rPr>
            </w:pPr>
          </w:p>
        </w:tc>
        <w:tc>
          <w:tcPr>
            <w:tcW w:w="1642" w:type="dxa"/>
            <w:shd w:val="clear" w:color="auto" w:fill="D9D9D9"/>
          </w:tcPr>
          <w:p>
            <w:pPr>
              <w:pStyle w:val="TableParagraph"/>
              <w:rPr>
                <w:rFonts w:ascii="Times New Roman"/>
                <w:sz w:val="20"/>
              </w:rPr>
            </w:pPr>
          </w:p>
        </w:tc>
        <w:tc>
          <w:tcPr>
            <w:tcW w:w="1733" w:type="dxa"/>
          </w:tcPr>
          <w:p>
            <w:pPr>
              <w:pStyle w:val="TableParagraph"/>
              <w:spacing w:line="255" w:lineRule="exact" w:before="2"/>
              <w:ind w:left="107"/>
              <w:rPr>
                <w:b/>
                <w:sz w:val="24"/>
              </w:rPr>
            </w:pPr>
            <w:r>
              <w:rPr>
                <w:b/>
                <w:sz w:val="24"/>
              </w:rPr>
              <w:t>TIPO</w:t>
            </w:r>
          </w:p>
        </w:tc>
        <w:tc>
          <w:tcPr>
            <w:tcW w:w="1873" w:type="dxa"/>
          </w:tcPr>
          <w:p>
            <w:pPr>
              <w:pStyle w:val="TableParagraph"/>
              <w:spacing w:line="255" w:lineRule="exact" w:before="2"/>
              <w:ind w:left="107"/>
              <w:rPr>
                <w:b/>
                <w:sz w:val="24"/>
              </w:rPr>
            </w:pPr>
            <w:r>
              <w:rPr>
                <w:b/>
                <w:sz w:val="24"/>
              </w:rPr>
              <w:t>ESTRUCTURA</w:t>
            </w:r>
          </w:p>
        </w:tc>
        <w:tc>
          <w:tcPr>
            <w:tcW w:w="2310" w:type="dxa"/>
          </w:tcPr>
          <w:p>
            <w:pPr>
              <w:pStyle w:val="TableParagraph"/>
              <w:spacing w:line="255" w:lineRule="exact" w:before="2"/>
              <w:ind w:left="104"/>
              <w:rPr>
                <w:b/>
                <w:sz w:val="24"/>
              </w:rPr>
            </w:pPr>
            <w:r>
              <w:rPr>
                <w:b/>
                <w:sz w:val="24"/>
              </w:rPr>
              <w:t>COMPLEMENTOS</w:t>
            </w:r>
          </w:p>
        </w:tc>
      </w:tr>
      <w:tr>
        <w:trPr>
          <w:trHeight w:val="2805" w:hRule="atLeast"/>
        </w:trPr>
        <w:tc>
          <w:tcPr>
            <w:tcW w:w="1505" w:type="dxa"/>
            <w:vMerge w:val="restart"/>
            <w:textDirection w:val="btLr"/>
          </w:tcPr>
          <w:p>
            <w:pPr>
              <w:pStyle w:val="TableParagraph"/>
              <w:spacing w:before="110"/>
              <w:ind w:left="2026" w:right="2027"/>
              <w:jc w:val="center"/>
              <w:rPr>
                <w:b/>
                <w:sz w:val="24"/>
              </w:rPr>
            </w:pPr>
            <w:r>
              <w:rPr>
                <w:b/>
                <w:sz w:val="24"/>
              </w:rPr>
              <w:t>ELEMENTOS DE CUBRICIÓN</w:t>
            </w:r>
          </w:p>
        </w:tc>
        <w:tc>
          <w:tcPr>
            <w:tcW w:w="1642" w:type="dxa"/>
          </w:tcPr>
          <w:p>
            <w:pPr>
              <w:pStyle w:val="TableParagraph"/>
              <w:rPr>
                <w:b/>
                <w:sz w:val="26"/>
              </w:rPr>
            </w:pPr>
          </w:p>
          <w:p>
            <w:pPr>
              <w:pStyle w:val="TableParagraph"/>
              <w:rPr>
                <w:b/>
                <w:sz w:val="22"/>
              </w:rPr>
            </w:pPr>
          </w:p>
          <w:p>
            <w:pPr>
              <w:pStyle w:val="TableParagraph"/>
              <w:ind w:left="105"/>
              <w:rPr>
                <w:b/>
                <w:sz w:val="24"/>
              </w:rPr>
            </w:pPr>
            <w:r>
              <w:rPr>
                <w:b/>
                <w:sz w:val="24"/>
              </w:rPr>
              <w:t>SOMBRILLA</w:t>
            </w:r>
          </w:p>
        </w:tc>
        <w:tc>
          <w:tcPr>
            <w:tcW w:w="1733" w:type="dxa"/>
          </w:tcPr>
          <w:p>
            <w:pPr>
              <w:pStyle w:val="TableParagraph"/>
              <w:spacing w:before="8"/>
              <w:rPr>
                <w:b/>
                <w:sz w:val="19"/>
              </w:rPr>
            </w:pPr>
          </w:p>
          <w:p>
            <w:pPr>
              <w:pStyle w:val="TableParagraph"/>
              <w:spacing w:before="1"/>
              <w:ind w:left="107" w:right="99"/>
              <w:jc w:val="both"/>
              <w:rPr>
                <w:sz w:val="20"/>
              </w:rPr>
            </w:pPr>
            <w:r>
              <w:rPr>
                <w:sz w:val="20"/>
              </w:rPr>
              <w:t>Retráctil y ligero para su retirada al cierre de la actividad.</w:t>
            </w:r>
          </w:p>
          <w:p>
            <w:pPr>
              <w:pStyle w:val="TableParagraph"/>
              <w:spacing w:before="2"/>
              <w:rPr>
                <w:b/>
                <w:sz w:val="20"/>
              </w:rPr>
            </w:pPr>
          </w:p>
          <w:p>
            <w:pPr>
              <w:pStyle w:val="TableParagraph"/>
              <w:ind w:left="107" w:right="99"/>
              <w:jc w:val="both"/>
              <w:rPr>
                <w:sz w:val="20"/>
              </w:rPr>
            </w:pPr>
            <w:r>
              <w:rPr>
                <w:sz w:val="20"/>
              </w:rPr>
              <w:t>LONA: Acrílica impermeable e ignífugo.</w:t>
            </w:r>
          </w:p>
        </w:tc>
        <w:tc>
          <w:tcPr>
            <w:tcW w:w="1873" w:type="dxa"/>
          </w:tcPr>
          <w:p>
            <w:pPr>
              <w:pStyle w:val="TableParagraph"/>
              <w:spacing w:before="8"/>
              <w:rPr>
                <w:b/>
                <w:sz w:val="19"/>
              </w:rPr>
            </w:pPr>
          </w:p>
          <w:p>
            <w:pPr>
              <w:pStyle w:val="TableParagraph"/>
              <w:spacing w:before="1"/>
              <w:ind w:left="107" w:right="103"/>
              <w:jc w:val="both"/>
              <w:rPr>
                <w:sz w:val="20"/>
              </w:rPr>
            </w:pPr>
            <w:r>
              <w:rPr>
                <w:sz w:val="20"/>
              </w:rPr>
              <w:t>BASE: Adecuada para evitar su caída o vuelco</w:t>
            </w:r>
          </w:p>
          <w:p>
            <w:pPr>
              <w:pStyle w:val="TableParagraph"/>
              <w:spacing w:before="2"/>
              <w:rPr>
                <w:b/>
                <w:sz w:val="20"/>
              </w:rPr>
            </w:pPr>
          </w:p>
          <w:p>
            <w:pPr>
              <w:pStyle w:val="TableParagraph"/>
              <w:ind w:left="107"/>
              <w:rPr>
                <w:sz w:val="20"/>
              </w:rPr>
            </w:pPr>
            <w:r>
              <w:rPr>
                <w:sz w:val="20"/>
              </w:rPr>
              <w:t>MÁSTIL:</w:t>
            </w:r>
          </w:p>
          <w:p>
            <w:pPr>
              <w:pStyle w:val="TableParagraph"/>
              <w:tabs>
                <w:tab w:pos="1537" w:val="left" w:leader="none"/>
              </w:tabs>
              <w:ind w:left="107" w:right="102"/>
              <w:rPr>
                <w:sz w:val="20"/>
              </w:rPr>
            </w:pPr>
            <w:r>
              <w:rPr>
                <w:sz w:val="20"/>
              </w:rPr>
              <w:t>Aluminio, fundición</w:t>
              <w:tab/>
            </w:r>
            <w:r>
              <w:rPr>
                <w:spacing w:val="-9"/>
                <w:sz w:val="20"/>
              </w:rPr>
              <w:t>de </w:t>
            </w:r>
            <w:r>
              <w:rPr>
                <w:sz w:val="20"/>
              </w:rPr>
              <w:t>aluminio, madera u otro material </w:t>
            </w:r>
            <w:r>
              <w:rPr>
                <w:spacing w:val="-8"/>
                <w:sz w:val="20"/>
              </w:rPr>
              <w:t>de </w:t>
            </w:r>
            <w:r>
              <w:rPr>
                <w:sz w:val="20"/>
              </w:rPr>
              <w:t>calidad</w:t>
            </w:r>
            <w:r>
              <w:rPr>
                <w:spacing w:val="-3"/>
                <w:sz w:val="20"/>
              </w:rPr>
              <w:t> </w:t>
            </w:r>
            <w:r>
              <w:rPr>
                <w:sz w:val="20"/>
              </w:rPr>
              <w:t>superior.</w:t>
            </w:r>
          </w:p>
        </w:tc>
        <w:tc>
          <w:tcPr>
            <w:tcW w:w="2310" w:type="dxa"/>
          </w:tcPr>
          <w:p>
            <w:pPr>
              <w:pStyle w:val="TableParagraph"/>
              <w:rPr>
                <w:b/>
                <w:sz w:val="22"/>
              </w:rPr>
            </w:pPr>
          </w:p>
          <w:p>
            <w:pPr>
              <w:pStyle w:val="TableParagraph"/>
              <w:spacing w:before="9"/>
              <w:rPr>
                <w:b/>
                <w:sz w:val="17"/>
              </w:rPr>
            </w:pPr>
          </w:p>
          <w:p>
            <w:pPr>
              <w:pStyle w:val="TableParagraph"/>
              <w:ind w:left="104"/>
              <w:rPr>
                <w:sz w:val="20"/>
              </w:rPr>
            </w:pPr>
            <w:r>
              <w:rPr>
                <w:sz w:val="20"/>
              </w:rPr>
              <w:t>ILUMINACIÓN:</w:t>
            </w:r>
          </w:p>
          <w:p>
            <w:pPr>
              <w:pStyle w:val="TableParagraph"/>
              <w:tabs>
                <w:tab w:pos="1973" w:val="left" w:leader="none"/>
              </w:tabs>
              <w:ind w:left="104" w:right="101"/>
              <w:jc w:val="both"/>
              <w:rPr>
                <w:sz w:val="20"/>
              </w:rPr>
            </w:pPr>
            <w:r>
              <w:rPr>
                <w:sz w:val="20"/>
              </w:rPr>
              <w:t>Se permiten elementos de iluminación </w:t>
            </w:r>
            <w:r>
              <w:rPr>
                <w:spacing w:val="-5"/>
                <w:sz w:val="20"/>
              </w:rPr>
              <w:t>con </w:t>
            </w:r>
            <w:r>
              <w:rPr>
                <w:sz w:val="20"/>
              </w:rPr>
              <w:t>sistema</w:t>
              <w:tab/>
            </w:r>
            <w:r>
              <w:rPr>
                <w:spacing w:val="-9"/>
                <w:sz w:val="20"/>
              </w:rPr>
              <w:t>de</w:t>
            </w:r>
          </w:p>
          <w:p>
            <w:pPr>
              <w:pStyle w:val="TableParagraph"/>
              <w:tabs>
                <w:tab w:pos="1939" w:val="left" w:leader="none"/>
              </w:tabs>
              <w:spacing w:before="2"/>
              <w:ind w:left="104" w:right="101"/>
              <w:jc w:val="both"/>
              <w:rPr>
                <w:sz w:val="20"/>
              </w:rPr>
            </w:pPr>
            <w:r>
              <w:rPr>
                <w:sz w:val="20"/>
              </w:rPr>
              <w:t>alimentación</w:t>
              <w:tab/>
            </w:r>
            <w:r>
              <w:rPr>
                <w:spacing w:val="-6"/>
                <w:sz w:val="20"/>
              </w:rPr>
              <w:t>sin </w:t>
            </w:r>
            <w:r>
              <w:rPr>
                <w:sz w:val="20"/>
              </w:rPr>
              <w:t>conexión eléctrica sujetos al parasol, </w:t>
            </w:r>
            <w:r>
              <w:rPr>
                <w:spacing w:val="-5"/>
                <w:sz w:val="20"/>
              </w:rPr>
              <w:t>que </w:t>
            </w:r>
            <w:r>
              <w:rPr>
                <w:sz w:val="20"/>
              </w:rPr>
              <w:t>no impidan su</w:t>
            </w:r>
            <w:r>
              <w:rPr>
                <w:spacing w:val="-5"/>
                <w:sz w:val="20"/>
              </w:rPr>
              <w:t> </w:t>
            </w:r>
            <w:r>
              <w:rPr>
                <w:sz w:val="20"/>
              </w:rPr>
              <w:t>cierre.</w:t>
            </w:r>
          </w:p>
        </w:tc>
      </w:tr>
      <w:tr>
        <w:trPr>
          <w:trHeight w:val="4600" w:hRule="atLeast"/>
        </w:trPr>
        <w:tc>
          <w:tcPr>
            <w:tcW w:w="1505" w:type="dxa"/>
            <w:vMerge/>
            <w:tcBorders>
              <w:top w:val="nil"/>
            </w:tcBorders>
            <w:textDirection w:val="btLr"/>
          </w:tcPr>
          <w:p>
            <w:pPr>
              <w:rPr>
                <w:sz w:val="2"/>
                <w:szCs w:val="2"/>
              </w:rPr>
            </w:pPr>
          </w:p>
        </w:tc>
        <w:tc>
          <w:tcPr>
            <w:tcW w:w="1642" w:type="dxa"/>
          </w:tcPr>
          <w:p>
            <w:pPr>
              <w:pStyle w:val="TableParagraph"/>
              <w:ind w:left="105"/>
              <w:rPr>
                <w:b/>
                <w:sz w:val="24"/>
              </w:rPr>
            </w:pPr>
            <w:r>
              <w:rPr>
                <w:b/>
                <w:sz w:val="24"/>
              </w:rPr>
              <w:t>TOLDO</w:t>
            </w:r>
          </w:p>
        </w:tc>
        <w:tc>
          <w:tcPr>
            <w:tcW w:w="1733" w:type="dxa"/>
          </w:tcPr>
          <w:p>
            <w:pPr>
              <w:pStyle w:val="TableParagraph"/>
              <w:rPr>
                <w:b/>
                <w:sz w:val="22"/>
              </w:rPr>
            </w:pPr>
          </w:p>
          <w:p>
            <w:pPr>
              <w:pStyle w:val="TableParagraph"/>
              <w:spacing w:before="9"/>
              <w:rPr>
                <w:b/>
                <w:sz w:val="17"/>
              </w:rPr>
            </w:pPr>
          </w:p>
          <w:p>
            <w:pPr>
              <w:pStyle w:val="TableParagraph"/>
              <w:tabs>
                <w:tab w:pos="1400" w:val="left" w:leader="none"/>
                <w:tab w:pos="1510" w:val="left" w:leader="none"/>
              </w:tabs>
              <w:ind w:left="107" w:right="99"/>
              <w:rPr>
                <w:sz w:val="20"/>
              </w:rPr>
            </w:pPr>
            <w:r>
              <w:rPr>
                <w:sz w:val="20"/>
              </w:rPr>
              <w:t>Se extenderá </w:t>
            </w:r>
            <w:r>
              <w:rPr>
                <w:spacing w:val="-8"/>
                <w:sz w:val="20"/>
              </w:rPr>
              <w:t>en </w:t>
            </w:r>
            <w:r>
              <w:rPr>
                <w:sz w:val="20"/>
              </w:rPr>
              <w:t>horizontal</w:t>
              <w:tab/>
              <w:tab/>
            </w:r>
            <w:r>
              <w:rPr>
                <w:spacing w:val="-17"/>
                <w:sz w:val="20"/>
              </w:rPr>
              <w:t>o </w:t>
            </w:r>
            <w:r>
              <w:rPr>
                <w:sz w:val="20"/>
              </w:rPr>
              <w:t>inclinados, quedando prohibidos</w:t>
              <w:tab/>
            </w:r>
            <w:r>
              <w:rPr>
                <w:spacing w:val="-9"/>
                <w:sz w:val="20"/>
              </w:rPr>
              <w:t>de </w:t>
            </w:r>
            <w:r>
              <w:rPr>
                <w:sz w:val="20"/>
              </w:rPr>
              <w:t>cualquier tipo </w:t>
            </w:r>
            <w:r>
              <w:rPr>
                <w:spacing w:val="-8"/>
                <w:sz w:val="20"/>
              </w:rPr>
              <w:t>de </w:t>
            </w:r>
            <w:r>
              <w:rPr>
                <w:sz w:val="20"/>
              </w:rPr>
              <w:t>toldo vertical </w:t>
            </w:r>
            <w:r>
              <w:rPr>
                <w:spacing w:val="-13"/>
                <w:sz w:val="20"/>
              </w:rPr>
              <w:t>/ </w:t>
            </w:r>
            <w:r>
              <w:rPr>
                <w:sz w:val="20"/>
              </w:rPr>
              <w:t>lateral.</w:t>
            </w:r>
          </w:p>
        </w:tc>
        <w:tc>
          <w:tcPr>
            <w:tcW w:w="1873" w:type="dxa"/>
          </w:tcPr>
          <w:p>
            <w:pPr>
              <w:pStyle w:val="TableParagraph"/>
              <w:tabs>
                <w:tab w:pos="1491" w:val="left" w:leader="none"/>
              </w:tabs>
              <w:ind w:left="107" w:right="101"/>
              <w:jc w:val="both"/>
              <w:rPr>
                <w:sz w:val="20"/>
              </w:rPr>
            </w:pPr>
            <w:r>
              <w:rPr>
                <w:sz w:val="20"/>
              </w:rPr>
              <w:t>Sólo podrá </w:t>
            </w:r>
            <w:r>
              <w:rPr>
                <w:spacing w:val="-3"/>
                <w:sz w:val="20"/>
              </w:rPr>
              <w:t>estar </w:t>
            </w:r>
            <w:r>
              <w:rPr>
                <w:sz w:val="20"/>
              </w:rPr>
              <w:t>anclados a </w:t>
            </w:r>
            <w:r>
              <w:rPr>
                <w:spacing w:val="-8"/>
                <w:sz w:val="20"/>
              </w:rPr>
              <w:t>la </w:t>
            </w:r>
            <w:r>
              <w:rPr>
                <w:sz w:val="20"/>
              </w:rPr>
              <w:t>fachada</w:t>
              <w:tab/>
            </w:r>
            <w:r>
              <w:rPr>
                <w:spacing w:val="-6"/>
                <w:sz w:val="20"/>
              </w:rPr>
              <w:t>del </w:t>
            </w:r>
            <w:r>
              <w:rPr>
                <w:sz w:val="20"/>
              </w:rPr>
              <w:t>edificio.</w:t>
            </w:r>
          </w:p>
          <w:p>
            <w:pPr>
              <w:pStyle w:val="TableParagraph"/>
              <w:spacing w:before="10"/>
              <w:rPr>
                <w:b/>
                <w:sz w:val="19"/>
              </w:rPr>
            </w:pPr>
          </w:p>
          <w:p>
            <w:pPr>
              <w:pStyle w:val="TableParagraph"/>
              <w:ind w:left="107"/>
              <w:rPr>
                <w:sz w:val="20"/>
              </w:rPr>
            </w:pPr>
            <w:r>
              <w:rPr>
                <w:sz w:val="20"/>
              </w:rPr>
              <w:t>MATERIAL:</w:t>
            </w:r>
          </w:p>
          <w:p>
            <w:pPr>
              <w:pStyle w:val="TableParagraph"/>
              <w:spacing w:before="1"/>
              <w:ind w:left="107" w:right="101" w:firstLine="55"/>
              <w:jc w:val="both"/>
              <w:rPr>
                <w:sz w:val="20"/>
              </w:rPr>
            </w:pPr>
            <w:r>
              <w:rPr>
                <w:sz w:val="20"/>
              </w:rPr>
              <w:t>El elemento de protección de los toldos será de material textil, tipo lona o similar.</w:t>
            </w:r>
          </w:p>
          <w:p>
            <w:pPr>
              <w:pStyle w:val="TableParagraph"/>
              <w:rPr>
                <w:b/>
                <w:sz w:val="20"/>
              </w:rPr>
            </w:pPr>
          </w:p>
          <w:p>
            <w:pPr>
              <w:pStyle w:val="TableParagraph"/>
              <w:tabs>
                <w:tab w:pos="1491" w:val="left" w:leader="none"/>
              </w:tabs>
              <w:ind w:left="107" w:right="102"/>
              <w:jc w:val="both"/>
              <w:rPr>
                <w:sz w:val="20"/>
              </w:rPr>
            </w:pPr>
            <w:r>
              <w:rPr>
                <w:sz w:val="20"/>
              </w:rPr>
              <w:t>Aluminio</w:t>
              <w:tab/>
            </w:r>
            <w:r>
              <w:rPr>
                <w:spacing w:val="-6"/>
                <w:sz w:val="20"/>
              </w:rPr>
              <w:t>y/o </w:t>
            </w:r>
            <w:r>
              <w:rPr>
                <w:sz w:val="20"/>
              </w:rPr>
              <w:t>acero.</w:t>
            </w:r>
          </w:p>
          <w:p>
            <w:pPr>
              <w:pStyle w:val="TableParagraph"/>
              <w:spacing w:before="10"/>
              <w:rPr>
                <w:b/>
                <w:sz w:val="19"/>
              </w:rPr>
            </w:pPr>
          </w:p>
          <w:p>
            <w:pPr>
              <w:pStyle w:val="TableParagraph"/>
              <w:spacing w:before="1"/>
              <w:ind w:left="107"/>
              <w:rPr>
                <w:sz w:val="20"/>
              </w:rPr>
            </w:pPr>
            <w:r>
              <w:rPr>
                <w:sz w:val="20"/>
              </w:rPr>
              <w:t>ACABADO:</w:t>
            </w:r>
          </w:p>
          <w:p>
            <w:pPr>
              <w:pStyle w:val="TableParagraph"/>
              <w:ind w:left="107" w:right="102"/>
              <w:jc w:val="both"/>
              <w:rPr>
                <w:sz w:val="20"/>
              </w:rPr>
            </w:pPr>
            <w:r>
              <w:rPr>
                <w:sz w:val="20"/>
              </w:rPr>
              <w:t>Metálico en su color o color metálico.</w:t>
            </w:r>
          </w:p>
        </w:tc>
        <w:tc>
          <w:tcPr>
            <w:tcW w:w="2310" w:type="dxa"/>
          </w:tcPr>
          <w:p>
            <w:pPr>
              <w:pStyle w:val="TableParagraph"/>
              <w:rPr>
                <w:b/>
                <w:sz w:val="22"/>
              </w:rPr>
            </w:pPr>
          </w:p>
          <w:p>
            <w:pPr>
              <w:pStyle w:val="TableParagraph"/>
              <w:rPr>
                <w:b/>
                <w:sz w:val="22"/>
              </w:rPr>
            </w:pPr>
          </w:p>
          <w:p>
            <w:pPr>
              <w:pStyle w:val="TableParagraph"/>
              <w:rPr>
                <w:b/>
                <w:sz w:val="22"/>
              </w:rPr>
            </w:pPr>
          </w:p>
          <w:p>
            <w:pPr>
              <w:pStyle w:val="TableParagraph"/>
              <w:spacing w:before="159"/>
              <w:ind w:left="104"/>
              <w:rPr>
                <w:sz w:val="20"/>
              </w:rPr>
            </w:pPr>
            <w:r>
              <w:rPr>
                <w:sz w:val="20"/>
              </w:rPr>
              <w:t>ILUMINACIÓN:</w:t>
            </w:r>
          </w:p>
          <w:p>
            <w:pPr>
              <w:pStyle w:val="TableParagraph"/>
              <w:tabs>
                <w:tab w:pos="1196" w:val="left" w:leader="none"/>
              </w:tabs>
              <w:spacing w:before="1"/>
              <w:ind w:left="104" w:right="101"/>
              <w:jc w:val="both"/>
              <w:rPr>
                <w:sz w:val="20"/>
              </w:rPr>
            </w:pPr>
            <w:r>
              <w:rPr>
                <w:sz w:val="20"/>
              </w:rPr>
              <w:t>Se permiten elementos de</w:t>
              <w:tab/>
            </w:r>
            <w:r>
              <w:rPr>
                <w:w w:val="95"/>
                <w:sz w:val="20"/>
              </w:rPr>
              <w:t>iluminación </w:t>
            </w:r>
            <w:r>
              <w:rPr>
                <w:sz w:val="20"/>
              </w:rPr>
              <w:t>anclados a </w:t>
            </w:r>
            <w:r>
              <w:rPr>
                <w:spacing w:val="-8"/>
                <w:sz w:val="20"/>
              </w:rPr>
              <w:t>la </w:t>
            </w:r>
            <w:r>
              <w:rPr>
                <w:sz w:val="20"/>
              </w:rPr>
              <w:t>estructura del</w:t>
            </w:r>
            <w:r>
              <w:rPr>
                <w:spacing w:val="-5"/>
                <w:sz w:val="20"/>
              </w:rPr>
              <w:t> </w:t>
            </w:r>
            <w:r>
              <w:rPr>
                <w:sz w:val="20"/>
              </w:rPr>
              <w:t>toldo.</w:t>
            </w:r>
          </w:p>
        </w:tc>
      </w:tr>
    </w:tbl>
    <w:sectPr>
      <w:pgSz w:w="11910" w:h="16840"/>
      <w:pgMar w:header="905" w:footer="0" w:top="2540" w:bottom="280" w:left="12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048960">
          <wp:simplePos x="0" y="0"/>
          <wp:positionH relativeFrom="page">
            <wp:posOffset>1435100</wp:posOffset>
          </wp:positionH>
          <wp:positionV relativeFrom="page">
            <wp:posOffset>574674</wp:posOffset>
          </wp:positionV>
          <wp:extent cx="508000" cy="7874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8000" cy="7874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503998pt;margin-top:115.16346pt;width:124.65pt;height:13.15pt;mso-position-horizontal-relative:page;mso-position-vertical-relative:page;z-index:-252266496" type="#_x0000_t202" filled="false" stroked="false">
          <v:textbox inset="0,0,0,0">
            <w:txbxContent>
              <w:p>
                <w:pPr>
                  <w:spacing w:before="12"/>
                  <w:ind w:left="20" w:right="0" w:firstLine="0"/>
                  <w:jc w:val="left"/>
                  <w:rPr>
                    <w:rFonts w:ascii="Arial" w:hAnsi="Arial"/>
                    <w:b/>
                    <w:sz w:val="20"/>
                  </w:rPr>
                </w:pPr>
                <w:r>
                  <w:rPr>
                    <w:rFonts w:ascii="Arial" w:hAnsi="Arial"/>
                    <w:b/>
                    <w:sz w:val="20"/>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decimal"/>
      <w:lvlText w:val="%1."/>
      <w:lvlJc w:val="left"/>
      <w:pPr>
        <w:ind w:left="218" w:hanging="288"/>
        <w:jc w:val="left"/>
      </w:pPr>
      <w:rPr>
        <w:rFonts w:hint="default" w:ascii="Times New Roman" w:hAnsi="Times New Roman" w:eastAsia="Times New Roman" w:cs="Times New Roman"/>
        <w:spacing w:val="-14"/>
        <w:w w:val="99"/>
        <w:sz w:val="24"/>
        <w:szCs w:val="24"/>
        <w:lang w:val="es-ES" w:eastAsia="es-ES" w:bidi="es-ES"/>
      </w:rPr>
    </w:lvl>
    <w:lvl w:ilvl="1">
      <w:start w:val="0"/>
      <w:numFmt w:val="bullet"/>
      <w:lvlText w:val="•"/>
      <w:lvlJc w:val="left"/>
      <w:pPr>
        <w:ind w:left="1138" w:hanging="288"/>
      </w:pPr>
      <w:rPr>
        <w:rFonts w:hint="default"/>
        <w:lang w:val="es-ES" w:eastAsia="es-ES" w:bidi="es-ES"/>
      </w:rPr>
    </w:lvl>
    <w:lvl w:ilvl="2">
      <w:start w:val="0"/>
      <w:numFmt w:val="bullet"/>
      <w:lvlText w:val="•"/>
      <w:lvlJc w:val="left"/>
      <w:pPr>
        <w:ind w:left="2057" w:hanging="288"/>
      </w:pPr>
      <w:rPr>
        <w:rFonts w:hint="default"/>
        <w:lang w:val="es-ES" w:eastAsia="es-ES" w:bidi="es-ES"/>
      </w:rPr>
    </w:lvl>
    <w:lvl w:ilvl="3">
      <w:start w:val="0"/>
      <w:numFmt w:val="bullet"/>
      <w:lvlText w:val="•"/>
      <w:lvlJc w:val="left"/>
      <w:pPr>
        <w:ind w:left="2975" w:hanging="288"/>
      </w:pPr>
      <w:rPr>
        <w:rFonts w:hint="default"/>
        <w:lang w:val="es-ES" w:eastAsia="es-ES" w:bidi="es-ES"/>
      </w:rPr>
    </w:lvl>
    <w:lvl w:ilvl="4">
      <w:start w:val="0"/>
      <w:numFmt w:val="bullet"/>
      <w:lvlText w:val="•"/>
      <w:lvlJc w:val="left"/>
      <w:pPr>
        <w:ind w:left="3894" w:hanging="288"/>
      </w:pPr>
      <w:rPr>
        <w:rFonts w:hint="default"/>
        <w:lang w:val="es-ES" w:eastAsia="es-ES" w:bidi="es-ES"/>
      </w:rPr>
    </w:lvl>
    <w:lvl w:ilvl="5">
      <w:start w:val="0"/>
      <w:numFmt w:val="bullet"/>
      <w:lvlText w:val="•"/>
      <w:lvlJc w:val="left"/>
      <w:pPr>
        <w:ind w:left="4813" w:hanging="288"/>
      </w:pPr>
      <w:rPr>
        <w:rFonts w:hint="default"/>
        <w:lang w:val="es-ES" w:eastAsia="es-ES" w:bidi="es-ES"/>
      </w:rPr>
    </w:lvl>
    <w:lvl w:ilvl="6">
      <w:start w:val="0"/>
      <w:numFmt w:val="bullet"/>
      <w:lvlText w:val="•"/>
      <w:lvlJc w:val="left"/>
      <w:pPr>
        <w:ind w:left="5731" w:hanging="288"/>
      </w:pPr>
      <w:rPr>
        <w:rFonts w:hint="default"/>
        <w:lang w:val="es-ES" w:eastAsia="es-ES" w:bidi="es-ES"/>
      </w:rPr>
    </w:lvl>
    <w:lvl w:ilvl="7">
      <w:start w:val="0"/>
      <w:numFmt w:val="bullet"/>
      <w:lvlText w:val="•"/>
      <w:lvlJc w:val="left"/>
      <w:pPr>
        <w:ind w:left="6650" w:hanging="288"/>
      </w:pPr>
      <w:rPr>
        <w:rFonts w:hint="default"/>
        <w:lang w:val="es-ES" w:eastAsia="es-ES" w:bidi="es-ES"/>
      </w:rPr>
    </w:lvl>
    <w:lvl w:ilvl="8">
      <w:start w:val="0"/>
      <w:numFmt w:val="bullet"/>
      <w:lvlText w:val="•"/>
      <w:lvlJc w:val="left"/>
      <w:pPr>
        <w:ind w:left="7569" w:hanging="288"/>
      </w:pPr>
      <w:rPr>
        <w:rFonts w:hint="default"/>
        <w:lang w:val="es-ES" w:eastAsia="es-ES" w:bidi="es-ES"/>
      </w:rPr>
    </w:lvl>
  </w:abstractNum>
  <w:abstractNum w:abstractNumId="22">
    <w:multiLevelType w:val="hybridMultilevel"/>
    <w:lvl w:ilvl="0">
      <w:start w:val="1"/>
      <w:numFmt w:val="lowerLetter"/>
      <w:lvlText w:val="%1)"/>
      <w:lvlJc w:val="left"/>
      <w:pPr>
        <w:ind w:left="218" w:hanging="298"/>
        <w:jc w:val="left"/>
      </w:pPr>
      <w:rPr>
        <w:rFonts w:hint="default" w:ascii="Times New Roman" w:hAnsi="Times New Roman" w:eastAsia="Times New Roman" w:cs="Times New Roman"/>
        <w:spacing w:val="-9"/>
        <w:w w:val="99"/>
        <w:sz w:val="24"/>
        <w:szCs w:val="24"/>
        <w:lang w:val="es-ES" w:eastAsia="es-ES" w:bidi="es-ES"/>
      </w:rPr>
    </w:lvl>
    <w:lvl w:ilvl="1">
      <w:start w:val="0"/>
      <w:numFmt w:val="bullet"/>
      <w:lvlText w:val="•"/>
      <w:lvlJc w:val="left"/>
      <w:pPr>
        <w:ind w:left="1138" w:hanging="298"/>
      </w:pPr>
      <w:rPr>
        <w:rFonts w:hint="default"/>
        <w:lang w:val="es-ES" w:eastAsia="es-ES" w:bidi="es-ES"/>
      </w:rPr>
    </w:lvl>
    <w:lvl w:ilvl="2">
      <w:start w:val="0"/>
      <w:numFmt w:val="bullet"/>
      <w:lvlText w:val="•"/>
      <w:lvlJc w:val="left"/>
      <w:pPr>
        <w:ind w:left="2057" w:hanging="298"/>
      </w:pPr>
      <w:rPr>
        <w:rFonts w:hint="default"/>
        <w:lang w:val="es-ES" w:eastAsia="es-ES" w:bidi="es-ES"/>
      </w:rPr>
    </w:lvl>
    <w:lvl w:ilvl="3">
      <w:start w:val="0"/>
      <w:numFmt w:val="bullet"/>
      <w:lvlText w:val="•"/>
      <w:lvlJc w:val="left"/>
      <w:pPr>
        <w:ind w:left="2975" w:hanging="298"/>
      </w:pPr>
      <w:rPr>
        <w:rFonts w:hint="default"/>
        <w:lang w:val="es-ES" w:eastAsia="es-ES" w:bidi="es-ES"/>
      </w:rPr>
    </w:lvl>
    <w:lvl w:ilvl="4">
      <w:start w:val="0"/>
      <w:numFmt w:val="bullet"/>
      <w:lvlText w:val="•"/>
      <w:lvlJc w:val="left"/>
      <w:pPr>
        <w:ind w:left="3894" w:hanging="298"/>
      </w:pPr>
      <w:rPr>
        <w:rFonts w:hint="default"/>
        <w:lang w:val="es-ES" w:eastAsia="es-ES" w:bidi="es-ES"/>
      </w:rPr>
    </w:lvl>
    <w:lvl w:ilvl="5">
      <w:start w:val="0"/>
      <w:numFmt w:val="bullet"/>
      <w:lvlText w:val="•"/>
      <w:lvlJc w:val="left"/>
      <w:pPr>
        <w:ind w:left="4813" w:hanging="298"/>
      </w:pPr>
      <w:rPr>
        <w:rFonts w:hint="default"/>
        <w:lang w:val="es-ES" w:eastAsia="es-ES" w:bidi="es-ES"/>
      </w:rPr>
    </w:lvl>
    <w:lvl w:ilvl="6">
      <w:start w:val="0"/>
      <w:numFmt w:val="bullet"/>
      <w:lvlText w:val="•"/>
      <w:lvlJc w:val="left"/>
      <w:pPr>
        <w:ind w:left="5731" w:hanging="298"/>
      </w:pPr>
      <w:rPr>
        <w:rFonts w:hint="default"/>
        <w:lang w:val="es-ES" w:eastAsia="es-ES" w:bidi="es-ES"/>
      </w:rPr>
    </w:lvl>
    <w:lvl w:ilvl="7">
      <w:start w:val="0"/>
      <w:numFmt w:val="bullet"/>
      <w:lvlText w:val="•"/>
      <w:lvlJc w:val="left"/>
      <w:pPr>
        <w:ind w:left="6650" w:hanging="298"/>
      </w:pPr>
      <w:rPr>
        <w:rFonts w:hint="default"/>
        <w:lang w:val="es-ES" w:eastAsia="es-ES" w:bidi="es-ES"/>
      </w:rPr>
    </w:lvl>
    <w:lvl w:ilvl="8">
      <w:start w:val="0"/>
      <w:numFmt w:val="bullet"/>
      <w:lvlText w:val="•"/>
      <w:lvlJc w:val="left"/>
      <w:pPr>
        <w:ind w:left="7569" w:hanging="298"/>
      </w:pPr>
      <w:rPr>
        <w:rFonts w:hint="default"/>
        <w:lang w:val="es-ES" w:eastAsia="es-ES" w:bidi="es-ES"/>
      </w:rPr>
    </w:lvl>
  </w:abstractNum>
  <w:abstractNum w:abstractNumId="21">
    <w:multiLevelType w:val="hybridMultilevel"/>
    <w:lvl w:ilvl="0">
      <w:start w:val="1"/>
      <w:numFmt w:val="decimal"/>
      <w:lvlText w:val="%1)"/>
      <w:lvlJc w:val="left"/>
      <w:pPr>
        <w:ind w:left="478" w:hanging="260"/>
        <w:jc w:val="left"/>
      </w:pPr>
      <w:rPr>
        <w:rFonts w:hint="default" w:ascii="Times New Roman" w:hAnsi="Times New Roman" w:eastAsia="Times New Roman" w:cs="Times New Roman"/>
        <w:w w:val="99"/>
        <w:sz w:val="24"/>
        <w:szCs w:val="24"/>
        <w:lang w:val="es-ES" w:eastAsia="es-ES" w:bidi="es-ES"/>
      </w:rPr>
    </w:lvl>
    <w:lvl w:ilvl="1">
      <w:start w:val="0"/>
      <w:numFmt w:val="bullet"/>
      <w:lvlText w:val="•"/>
      <w:lvlJc w:val="left"/>
      <w:pPr>
        <w:ind w:left="1372" w:hanging="260"/>
      </w:pPr>
      <w:rPr>
        <w:rFonts w:hint="default"/>
        <w:lang w:val="es-ES" w:eastAsia="es-ES" w:bidi="es-ES"/>
      </w:rPr>
    </w:lvl>
    <w:lvl w:ilvl="2">
      <w:start w:val="0"/>
      <w:numFmt w:val="bullet"/>
      <w:lvlText w:val="•"/>
      <w:lvlJc w:val="left"/>
      <w:pPr>
        <w:ind w:left="2265" w:hanging="260"/>
      </w:pPr>
      <w:rPr>
        <w:rFonts w:hint="default"/>
        <w:lang w:val="es-ES" w:eastAsia="es-ES" w:bidi="es-ES"/>
      </w:rPr>
    </w:lvl>
    <w:lvl w:ilvl="3">
      <w:start w:val="0"/>
      <w:numFmt w:val="bullet"/>
      <w:lvlText w:val="•"/>
      <w:lvlJc w:val="left"/>
      <w:pPr>
        <w:ind w:left="3157" w:hanging="260"/>
      </w:pPr>
      <w:rPr>
        <w:rFonts w:hint="default"/>
        <w:lang w:val="es-ES" w:eastAsia="es-ES" w:bidi="es-ES"/>
      </w:rPr>
    </w:lvl>
    <w:lvl w:ilvl="4">
      <w:start w:val="0"/>
      <w:numFmt w:val="bullet"/>
      <w:lvlText w:val="•"/>
      <w:lvlJc w:val="left"/>
      <w:pPr>
        <w:ind w:left="4050" w:hanging="260"/>
      </w:pPr>
      <w:rPr>
        <w:rFonts w:hint="default"/>
        <w:lang w:val="es-ES" w:eastAsia="es-ES" w:bidi="es-ES"/>
      </w:rPr>
    </w:lvl>
    <w:lvl w:ilvl="5">
      <w:start w:val="0"/>
      <w:numFmt w:val="bullet"/>
      <w:lvlText w:val="•"/>
      <w:lvlJc w:val="left"/>
      <w:pPr>
        <w:ind w:left="4943" w:hanging="260"/>
      </w:pPr>
      <w:rPr>
        <w:rFonts w:hint="default"/>
        <w:lang w:val="es-ES" w:eastAsia="es-ES" w:bidi="es-ES"/>
      </w:rPr>
    </w:lvl>
    <w:lvl w:ilvl="6">
      <w:start w:val="0"/>
      <w:numFmt w:val="bullet"/>
      <w:lvlText w:val="•"/>
      <w:lvlJc w:val="left"/>
      <w:pPr>
        <w:ind w:left="5835" w:hanging="260"/>
      </w:pPr>
      <w:rPr>
        <w:rFonts w:hint="default"/>
        <w:lang w:val="es-ES" w:eastAsia="es-ES" w:bidi="es-ES"/>
      </w:rPr>
    </w:lvl>
    <w:lvl w:ilvl="7">
      <w:start w:val="0"/>
      <w:numFmt w:val="bullet"/>
      <w:lvlText w:val="•"/>
      <w:lvlJc w:val="left"/>
      <w:pPr>
        <w:ind w:left="6728" w:hanging="260"/>
      </w:pPr>
      <w:rPr>
        <w:rFonts w:hint="default"/>
        <w:lang w:val="es-ES" w:eastAsia="es-ES" w:bidi="es-ES"/>
      </w:rPr>
    </w:lvl>
    <w:lvl w:ilvl="8">
      <w:start w:val="0"/>
      <w:numFmt w:val="bullet"/>
      <w:lvlText w:val="•"/>
      <w:lvlJc w:val="left"/>
      <w:pPr>
        <w:ind w:left="7621" w:hanging="260"/>
      </w:pPr>
      <w:rPr>
        <w:rFonts w:hint="default"/>
        <w:lang w:val="es-ES" w:eastAsia="es-ES" w:bidi="es-ES"/>
      </w:rPr>
    </w:lvl>
  </w:abstractNum>
  <w:abstractNum w:abstractNumId="20">
    <w:multiLevelType w:val="hybridMultilevel"/>
    <w:lvl w:ilvl="0">
      <w:start w:val="1"/>
      <w:numFmt w:val="lowerLetter"/>
      <w:lvlText w:val="%1)"/>
      <w:lvlJc w:val="left"/>
      <w:pPr>
        <w:ind w:left="218" w:hanging="307"/>
        <w:jc w:val="left"/>
      </w:pPr>
      <w:rPr>
        <w:rFonts w:hint="default" w:ascii="Times New Roman" w:hAnsi="Times New Roman" w:eastAsia="Times New Roman" w:cs="Times New Roman"/>
        <w:spacing w:val="-18"/>
        <w:w w:val="99"/>
        <w:sz w:val="24"/>
        <w:szCs w:val="24"/>
        <w:lang w:val="es-ES" w:eastAsia="es-ES" w:bidi="es-ES"/>
      </w:rPr>
    </w:lvl>
    <w:lvl w:ilvl="1">
      <w:start w:val="0"/>
      <w:numFmt w:val="bullet"/>
      <w:lvlText w:val="•"/>
      <w:lvlJc w:val="left"/>
      <w:pPr>
        <w:ind w:left="1138" w:hanging="307"/>
      </w:pPr>
      <w:rPr>
        <w:rFonts w:hint="default"/>
        <w:lang w:val="es-ES" w:eastAsia="es-ES" w:bidi="es-ES"/>
      </w:rPr>
    </w:lvl>
    <w:lvl w:ilvl="2">
      <w:start w:val="0"/>
      <w:numFmt w:val="bullet"/>
      <w:lvlText w:val="•"/>
      <w:lvlJc w:val="left"/>
      <w:pPr>
        <w:ind w:left="2057" w:hanging="307"/>
      </w:pPr>
      <w:rPr>
        <w:rFonts w:hint="default"/>
        <w:lang w:val="es-ES" w:eastAsia="es-ES" w:bidi="es-ES"/>
      </w:rPr>
    </w:lvl>
    <w:lvl w:ilvl="3">
      <w:start w:val="0"/>
      <w:numFmt w:val="bullet"/>
      <w:lvlText w:val="•"/>
      <w:lvlJc w:val="left"/>
      <w:pPr>
        <w:ind w:left="2975" w:hanging="307"/>
      </w:pPr>
      <w:rPr>
        <w:rFonts w:hint="default"/>
        <w:lang w:val="es-ES" w:eastAsia="es-ES" w:bidi="es-ES"/>
      </w:rPr>
    </w:lvl>
    <w:lvl w:ilvl="4">
      <w:start w:val="0"/>
      <w:numFmt w:val="bullet"/>
      <w:lvlText w:val="•"/>
      <w:lvlJc w:val="left"/>
      <w:pPr>
        <w:ind w:left="3894" w:hanging="307"/>
      </w:pPr>
      <w:rPr>
        <w:rFonts w:hint="default"/>
        <w:lang w:val="es-ES" w:eastAsia="es-ES" w:bidi="es-ES"/>
      </w:rPr>
    </w:lvl>
    <w:lvl w:ilvl="5">
      <w:start w:val="0"/>
      <w:numFmt w:val="bullet"/>
      <w:lvlText w:val="•"/>
      <w:lvlJc w:val="left"/>
      <w:pPr>
        <w:ind w:left="4813" w:hanging="307"/>
      </w:pPr>
      <w:rPr>
        <w:rFonts w:hint="default"/>
        <w:lang w:val="es-ES" w:eastAsia="es-ES" w:bidi="es-ES"/>
      </w:rPr>
    </w:lvl>
    <w:lvl w:ilvl="6">
      <w:start w:val="0"/>
      <w:numFmt w:val="bullet"/>
      <w:lvlText w:val="•"/>
      <w:lvlJc w:val="left"/>
      <w:pPr>
        <w:ind w:left="5731" w:hanging="307"/>
      </w:pPr>
      <w:rPr>
        <w:rFonts w:hint="default"/>
        <w:lang w:val="es-ES" w:eastAsia="es-ES" w:bidi="es-ES"/>
      </w:rPr>
    </w:lvl>
    <w:lvl w:ilvl="7">
      <w:start w:val="0"/>
      <w:numFmt w:val="bullet"/>
      <w:lvlText w:val="•"/>
      <w:lvlJc w:val="left"/>
      <w:pPr>
        <w:ind w:left="6650" w:hanging="307"/>
      </w:pPr>
      <w:rPr>
        <w:rFonts w:hint="default"/>
        <w:lang w:val="es-ES" w:eastAsia="es-ES" w:bidi="es-ES"/>
      </w:rPr>
    </w:lvl>
    <w:lvl w:ilvl="8">
      <w:start w:val="0"/>
      <w:numFmt w:val="bullet"/>
      <w:lvlText w:val="•"/>
      <w:lvlJc w:val="left"/>
      <w:pPr>
        <w:ind w:left="7569" w:hanging="307"/>
      </w:pPr>
      <w:rPr>
        <w:rFonts w:hint="default"/>
        <w:lang w:val="es-ES" w:eastAsia="es-ES" w:bidi="es-ES"/>
      </w:rPr>
    </w:lvl>
  </w:abstractNum>
  <w:abstractNum w:abstractNumId="19">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996" w:hanging="291"/>
      </w:pPr>
      <w:rPr>
        <w:rFonts w:hint="default" w:ascii="Symbol" w:hAnsi="Symbol" w:eastAsia="Symbol" w:cs="Symbol"/>
        <w:w w:val="100"/>
        <w:sz w:val="24"/>
        <w:szCs w:val="24"/>
        <w:lang w:val="es-ES" w:eastAsia="es-ES" w:bidi="es-ES"/>
      </w:rPr>
    </w:lvl>
    <w:lvl w:ilvl="2">
      <w:start w:val="0"/>
      <w:numFmt w:val="bullet"/>
      <w:lvlText w:val="•"/>
      <w:lvlJc w:val="left"/>
      <w:pPr>
        <w:ind w:left="1000" w:hanging="291"/>
      </w:pPr>
      <w:rPr>
        <w:rFonts w:hint="default"/>
        <w:lang w:val="es-ES" w:eastAsia="es-ES" w:bidi="es-ES"/>
      </w:rPr>
    </w:lvl>
    <w:lvl w:ilvl="3">
      <w:start w:val="0"/>
      <w:numFmt w:val="bullet"/>
      <w:lvlText w:val="•"/>
      <w:lvlJc w:val="left"/>
      <w:pPr>
        <w:ind w:left="2050" w:hanging="291"/>
      </w:pPr>
      <w:rPr>
        <w:rFonts w:hint="default"/>
        <w:lang w:val="es-ES" w:eastAsia="es-ES" w:bidi="es-ES"/>
      </w:rPr>
    </w:lvl>
    <w:lvl w:ilvl="4">
      <w:start w:val="0"/>
      <w:numFmt w:val="bullet"/>
      <w:lvlText w:val="•"/>
      <w:lvlJc w:val="left"/>
      <w:pPr>
        <w:ind w:left="3101" w:hanging="291"/>
      </w:pPr>
      <w:rPr>
        <w:rFonts w:hint="default"/>
        <w:lang w:val="es-ES" w:eastAsia="es-ES" w:bidi="es-ES"/>
      </w:rPr>
    </w:lvl>
    <w:lvl w:ilvl="5">
      <w:start w:val="0"/>
      <w:numFmt w:val="bullet"/>
      <w:lvlText w:val="•"/>
      <w:lvlJc w:val="left"/>
      <w:pPr>
        <w:ind w:left="4152" w:hanging="291"/>
      </w:pPr>
      <w:rPr>
        <w:rFonts w:hint="default"/>
        <w:lang w:val="es-ES" w:eastAsia="es-ES" w:bidi="es-ES"/>
      </w:rPr>
    </w:lvl>
    <w:lvl w:ilvl="6">
      <w:start w:val="0"/>
      <w:numFmt w:val="bullet"/>
      <w:lvlText w:val="•"/>
      <w:lvlJc w:val="left"/>
      <w:pPr>
        <w:ind w:left="5203" w:hanging="291"/>
      </w:pPr>
      <w:rPr>
        <w:rFonts w:hint="default"/>
        <w:lang w:val="es-ES" w:eastAsia="es-ES" w:bidi="es-ES"/>
      </w:rPr>
    </w:lvl>
    <w:lvl w:ilvl="7">
      <w:start w:val="0"/>
      <w:numFmt w:val="bullet"/>
      <w:lvlText w:val="•"/>
      <w:lvlJc w:val="left"/>
      <w:pPr>
        <w:ind w:left="6254" w:hanging="291"/>
      </w:pPr>
      <w:rPr>
        <w:rFonts w:hint="default"/>
        <w:lang w:val="es-ES" w:eastAsia="es-ES" w:bidi="es-ES"/>
      </w:rPr>
    </w:lvl>
    <w:lvl w:ilvl="8">
      <w:start w:val="0"/>
      <w:numFmt w:val="bullet"/>
      <w:lvlText w:val="•"/>
      <w:lvlJc w:val="left"/>
      <w:pPr>
        <w:ind w:left="7304" w:hanging="291"/>
      </w:pPr>
      <w:rPr>
        <w:rFonts w:hint="default"/>
        <w:lang w:val="es-ES" w:eastAsia="es-ES" w:bidi="es-ES"/>
      </w:rPr>
    </w:lvl>
  </w:abstractNum>
  <w:abstractNum w:abstractNumId="18">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354" w:hanging="246"/>
      </w:pPr>
      <w:rPr>
        <w:rFonts w:hint="default"/>
        <w:lang w:val="es-ES" w:eastAsia="es-ES" w:bidi="es-ES"/>
      </w:rPr>
    </w:lvl>
    <w:lvl w:ilvl="2">
      <w:start w:val="0"/>
      <w:numFmt w:val="bullet"/>
      <w:lvlText w:val="•"/>
      <w:lvlJc w:val="left"/>
      <w:pPr>
        <w:ind w:left="2249" w:hanging="246"/>
      </w:pPr>
      <w:rPr>
        <w:rFonts w:hint="default"/>
        <w:lang w:val="es-ES" w:eastAsia="es-ES" w:bidi="es-ES"/>
      </w:rPr>
    </w:lvl>
    <w:lvl w:ilvl="3">
      <w:start w:val="0"/>
      <w:numFmt w:val="bullet"/>
      <w:lvlText w:val="•"/>
      <w:lvlJc w:val="left"/>
      <w:pPr>
        <w:ind w:left="3143" w:hanging="246"/>
      </w:pPr>
      <w:rPr>
        <w:rFonts w:hint="default"/>
        <w:lang w:val="es-ES" w:eastAsia="es-ES" w:bidi="es-ES"/>
      </w:rPr>
    </w:lvl>
    <w:lvl w:ilvl="4">
      <w:start w:val="0"/>
      <w:numFmt w:val="bullet"/>
      <w:lvlText w:val="•"/>
      <w:lvlJc w:val="left"/>
      <w:pPr>
        <w:ind w:left="4038" w:hanging="246"/>
      </w:pPr>
      <w:rPr>
        <w:rFonts w:hint="default"/>
        <w:lang w:val="es-ES" w:eastAsia="es-ES" w:bidi="es-ES"/>
      </w:rPr>
    </w:lvl>
    <w:lvl w:ilvl="5">
      <w:start w:val="0"/>
      <w:numFmt w:val="bullet"/>
      <w:lvlText w:val="•"/>
      <w:lvlJc w:val="left"/>
      <w:pPr>
        <w:ind w:left="4933" w:hanging="246"/>
      </w:pPr>
      <w:rPr>
        <w:rFonts w:hint="default"/>
        <w:lang w:val="es-ES" w:eastAsia="es-ES" w:bidi="es-ES"/>
      </w:rPr>
    </w:lvl>
    <w:lvl w:ilvl="6">
      <w:start w:val="0"/>
      <w:numFmt w:val="bullet"/>
      <w:lvlText w:val="•"/>
      <w:lvlJc w:val="left"/>
      <w:pPr>
        <w:ind w:left="5827" w:hanging="246"/>
      </w:pPr>
      <w:rPr>
        <w:rFonts w:hint="default"/>
        <w:lang w:val="es-ES" w:eastAsia="es-ES" w:bidi="es-ES"/>
      </w:rPr>
    </w:lvl>
    <w:lvl w:ilvl="7">
      <w:start w:val="0"/>
      <w:numFmt w:val="bullet"/>
      <w:lvlText w:val="•"/>
      <w:lvlJc w:val="left"/>
      <w:pPr>
        <w:ind w:left="6722" w:hanging="246"/>
      </w:pPr>
      <w:rPr>
        <w:rFonts w:hint="default"/>
        <w:lang w:val="es-ES" w:eastAsia="es-ES" w:bidi="es-ES"/>
      </w:rPr>
    </w:lvl>
    <w:lvl w:ilvl="8">
      <w:start w:val="0"/>
      <w:numFmt w:val="bullet"/>
      <w:lvlText w:val="•"/>
      <w:lvlJc w:val="left"/>
      <w:pPr>
        <w:ind w:left="7617" w:hanging="246"/>
      </w:pPr>
      <w:rPr>
        <w:rFonts w:hint="default"/>
        <w:lang w:val="es-ES" w:eastAsia="es-ES" w:bidi="es-ES"/>
      </w:rPr>
    </w:lvl>
  </w:abstractNum>
  <w:abstractNum w:abstractNumId="17">
    <w:multiLevelType w:val="hybridMultilevel"/>
    <w:lvl w:ilvl="0">
      <w:start w:val="3"/>
      <w:numFmt w:val="lowerLetter"/>
      <w:lvlText w:val="%1"/>
      <w:lvlJc w:val="left"/>
      <w:pPr>
        <w:ind w:left="218" w:hanging="408"/>
        <w:jc w:val="left"/>
      </w:pPr>
      <w:rPr>
        <w:rFonts w:hint="default"/>
        <w:lang w:val="es-ES" w:eastAsia="es-ES" w:bidi="es-ES"/>
      </w:rPr>
    </w:lvl>
    <w:lvl w:ilvl="1">
      <w:start w:val="1"/>
      <w:numFmt w:val="decimal"/>
      <w:lvlText w:val="%1.%2."/>
      <w:lvlJc w:val="left"/>
      <w:pPr>
        <w:ind w:left="218" w:hanging="408"/>
        <w:jc w:val="left"/>
      </w:pPr>
      <w:rPr>
        <w:rFonts w:hint="default" w:ascii="Times New Roman" w:hAnsi="Times New Roman" w:eastAsia="Times New Roman" w:cs="Times New Roman"/>
        <w:spacing w:val="-1"/>
        <w:w w:val="100"/>
        <w:sz w:val="24"/>
        <w:szCs w:val="24"/>
        <w:lang w:val="es-ES" w:eastAsia="es-ES" w:bidi="es-ES"/>
      </w:rPr>
    </w:lvl>
    <w:lvl w:ilvl="2">
      <w:start w:val="0"/>
      <w:numFmt w:val="bullet"/>
      <w:lvlText w:val="•"/>
      <w:lvlJc w:val="left"/>
      <w:pPr>
        <w:ind w:left="2057" w:hanging="408"/>
      </w:pPr>
      <w:rPr>
        <w:rFonts w:hint="default"/>
        <w:lang w:val="es-ES" w:eastAsia="es-ES" w:bidi="es-ES"/>
      </w:rPr>
    </w:lvl>
    <w:lvl w:ilvl="3">
      <w:start w:val="0"/>
      <w:numFmt w:val="bullet"/>
      <w:lvlText w:val="•"/>
      <w:lvlJc w:val="left"/>
      <w:pPr>
        <w:ind w:left="2975" w:hanging="408"/>
      </w:pPr>
      <w:rPr>
        <w:rFonts w:hint="default"/>
        <w:lang w:val="es-ES" w:eastAsia="es-ES" w:bidi="es-ES"/>
      </w:rPr>
    </w:lvl>
    <w:lvl w:ilvl="4">
      <w:start w:val="0"/>
      <w:numFmt w:val="bullet"/>
      <w:lvlText w:val="•"/>
      <w:lvlJc w:val="left"/>
      <w:pPr>
        <w:ind w:left="3894" w:hanging="408"/>
      </w:pPr>
      <w:rPr>
        <w:rFonts w:hint="default"/>
        <w:lang w:val="es-ES" w:eastAsia="es-ES" w:bidi="es-ES"/>
      </w:rPr>
    </w:lvl>
    <w:lvl w:ilvl="5">
      <w:start w:val="0"/>
      <w:numFmt w:val="bullet"/>
      <w:lvlText w:val="•"/>
      <w:lvlJc w:val="left"/>
      <w:pPr>
        <w:ind w:left="4813" w:hanging="408"/>
      </w:pPr>
      <w:rPr>
        <w:rFonts w:hint="default"/>
        <w:lang w:val="es-ES" w:eastAsia="es-ES" w:bidi="es-ES"/>
      </w:rPr>
    </w:lvl>
    <w:lvl w:ilvl="6">
      <w:start w:val="0"/>
      <w:numFmt w:val="bullet"/>
      <w:lvlText w:val="•"/>
      <w:lvlJc w:val="left"/>
      <w:pPr>
        <w:ind w:left="5731" w:hanging="408"/>
      </w:pPr>
      <w:rPr>
        <w:rFonts w:hint="default"/>
        <w:lang w:val="es-ES" w:eastAsia="es-ES" w:bidi="es-ES"/>
      </w:rPr>
    </w:lvl>
    <w:lvl w:ilvl="7">
      <w:start w:val="0"/>
      <w:numFmt w:val="bullet"/>
      <w:lvlText w:val="•"/>
      <w:lvlJc w:val="left"/>
      <w:pPr>
        <w:ind w:left="6650" w:hanging="408"/>
      </w:pPr>
      <w:rPr>
        <w:rFonts w:hint="default"/>
        <w:lang w:val="es-ES" w:eastAsia="es-ES" w:bidi="es-ES"/>
      </w:rPr>
    </w:lvl>
    <w:lvl w:ilvl="8">
      <w:start w:val="0"/>
      <w:numFmt w:val="bullet"/>
      <w:lvlText w:val="•"/>
      <w:lvlJc w:val="left"/>
      <w:pPr>
        <w:ind w:left="7569" w:hanging="408"/>
      </w:pPr>
      <w:rPr>
        <w:rFonts w:hint="default"/>
        <w:lang w:val="es-ES" w:eastAsia="es-ES" w:bidi="es-ES"/>
      </w:rPr>
    </w:lvl>
  </w:abstractNum>
  <w:abstractNum w:abstractNumId="16">
    <w:multiLevelType w:val="hybridMultilevel"/>
    <w:lvl w:ilvl="0">
      <w:start w:val="2"/>
      <w:numFmt w:val="lowerLetter"/>
      <w:lvlText w:val="%1"/>
      <w:lvlJc w:val="left"/>
      <w:pPr>
        <w:ind w:left="938" w:hanging="360"/>
        <w:jc w:val="left"/>
      </w:pPr>
      <w:rPr>
        <w:rFonts w:hint="default"/>
        <w:lang w:val="es-ES" w:eastAsia="es-ES" w:bidi="es-ES"/>
      </w:rPr>
    </w:lvl>
    <w:lvl w:ilvl="1">
      <w:start w:val="1"/>
      <w:numFmt w:val="decimal"/>
      <w:lvlText w:val="%1.%2"/>
      <w:lvlJc w:val="left"/>
      <w:pPr>
        <w:ind w:left="938" w:hanging="360"/>
        <w:jc w:val="left"/>
      </w:pPr>
      <w:rPr>
        <w:rFonts w:hint="default" w:ascii="Times New Roman" w:hAnsi="Times New Roman" w:eastAsia="Times New Roman" w:cs="Times New Roman"/>
        <w:spacing w:val="-2"/>
        <w:w w:val="99"/>
        <w:sz w:val="24"/>
        <w:szCs w:val="24"/>
        <w:lang w:val="es-ES" w:eastAsia="es-ES" w:bidi="es-ES"/>
      </w:rPr>
    </w:lvl>
    <w:lvl w:ilvl="2">
      <w:start w:val="0"/>
      <w:numFmt w:val="bullet"/>
      <w:lvlText w:val="•"/>
      <w:lvlJc w:val="left"/>
      <w:pPr>
        <w:ind w:left="2633" w:hanging="360"/>
      </w:pPr>
      <w:rPr>
        <w:rFonts w:hint="default"/>
        <w:lang w:val="es-ES" w:eastAsia="es-ES" w:bidi="es-ES"/>
      </w:rPr>
    </w:lvl>
    <w:lvl w:ilvl="3">
      <w:start w:val="0"/>
      <w:numFmt w:val="bullet"/>
      <w:lvlText w:val="•"/>
      <w:lvlJc w:val="left"/>
      <w:pPr>
        <w:ind w:left="3479" w:hanging="360"/>
      </w:pPr>
      <w:rPr>
        <w:rFonts w:hint="default"/>
        <w:lang w:val="es-ES" w:eastAsia="es-ES" w:bidi="es-ES"/>
      </w:rPr>
    </w:lvl>
    <w:lvl w:ilvl="4">
      <w:start w:val="0"/>
      <w:numFmt w:val="bullet"/>
      <w:lvlText w:val="•"/>
      <w:lvlJc w:val="left"/>
      <w:pPr>
        <w:ind w:left="4326" w:hanging="360"/>
      </w:pPr>
      <w:rPr>
        <w:rFonts w:hint="default"/>
        <w:lang w:val="es-ES" w:eastAsia="es-ES" w:bidi="es-ES"/>
      </w:rPr>
    </w:lvl>
    <w:lvl w:ilvl="5">
      <w:start w:val="0"/>
      <w:numFmt w:val="bullet"/>
      <w:lvlText w:val="•"/>
      <w:lvlJc w:val="left"/>
      <w:pPr>
        <w:ind w:left="5173" w:hanging="360"/>
      </w:pPr>
      <w:rPr>
        <w:rFonts w:hint="default"/>
        <w:lang w:val="es-ES" w:eastAsia="es-ES" w:bidi="es-ES"/>
      </w:rPr>
    </w:lvl>
    <w:lvl w:ilvl="6">
      <w:start w:val="0"/>
      <w:numFmt w:val="bullet"/>
      <w:lvlText w:val="•"/>
      <w:lvlJc w:val="left"/>
      <w:pPr>
        <w:ind w:left="6019" w:hanging="360"/>
      </w:pPr>
      <w:rPr>
        <w:rFonts w:hint="default"/>
        <w:lang w:val="es-ES" w:eastAsia="es-ES" w:bidi="es-ES"/>
      </w:rPr>
    </w:lvl>
    <w:lvl w:ilvl="7">
      <w:start w:val="0"/>
      <w:numFmt w:val="bullet"/>
      <w:lvlText w:val="•"/>
      <w:lvlJc w:val="left"/>
      <w:pPr>
        <w:ind w:left="6866" w:hanging="360"/>
      </w:pPr>
      <w:rPr>
        <w:rFonts w:hint="default"/>
        <w:lang w:val="es-ES" w:eastAsia="es-ES" w:bidi="es-ES"/>
      </w:rPr>
    </w:lvl>
    <w:lvl w:ilvl="8">
      <w:start w:val="0"/>
      <w:numFmt w:val="bullet"/>
      <w:lvlText w:val="•"/>
      <w:lvlJc w:val="left"/>
      <w:pPr>
        <w:ind w:left="7713" w:hanging="360"/>
      </w:pPr>
      <w:rPr>
        <w:rFonts w:hint="default"/>
        <w:lang w:val="es-ES" w:eastAsia="es-ES" w:bidi="es-ES"/>
      </w:rPr>
    </w:lvl>
  </w:abstractNum>
  <w:abstractNum w:abstractNumId="15">
    <w:multiLevelType w:val="hybridMultilevel"/>
    <w:lvl w:ilvl="0">
      <w:start w:val="1"/>
      <w:numFmt w:val="lowerLetter"/>
      <w:lvlText w:val="%1)"/>
      <w:lvlJc w:val="left"/>
      <w:pPr>
        <w:ind w:left="463" w:hanging="245"/>
        <w:jc w:val="left"/>
      </w:pPr>
      <w:rPr>
        <w:rFonts w:hint="default" w:ascii="Times New Roman" w:hAnsi="Times New Roman" w:eastAsia="Times New Roman" w:cs="Times New Roman"/>
        <w:spacing w:val="-1"/>
        <w:w w:val="99"/>
        <w:sz w:val="24"/>
        <w:szCs w:val="24"/>
        <w:lang w:val="es-ES" w:eastAsia="es-ES" w:bidi="es-ES"/>
      </w:rPr>
    </w:lvl>
    <w:lvl w:ilvl="1">
      <w:start w:val="0"/>
      <w:numFmt w:val="bullet"/>
      <w:lvlText w:val=""/>
      <w:lvlJc w:val="left"/>
      <w:pPr>
        <w:ind w:left="938" w:hanging="348"/>
      </w:pPr>
      <w:rPr>
        <w:rFonts w:hint="default" w:ascii="Symbol" w:hAnsi="Symbol" w:eastAsia="Symbol" w:cs="Symbol"/>
        <w:w w:val="100"/>
        <w:sz w:val="24"/>
        <w:szCs w:val="24"/>
        <w:lang w:val="es-ES" w:eastAsia="es-ES" w:bidi="es-ES"/>
      </w:rPr>
    </w:lvl>
    <w:lvl w:ilvl="2">
      <w:start w:val="0"/>
      <w:numFmt w:val="bullet"/>
      <w:lvlText w:val="•"/>
      <w:lvlJc w:val="left"/>
      <w:pPr>
        <w:ind w:left="1880" w:hanging="348"/>
      </w:pPr>
      <w:rPr>
        <w:rFonts w:hint="default"/>
        <w:lang w:val="es-ES" w:eastAsia="es-ES" w:bidi="es-ES"/>
      </w:rPr>
    </w:lvl>
    <w:lvl w:ilvl="3">
      <w:start w:val="0"/>
      <w:numFmt w:val="bullet"/>
      <w:lvlText w:val="•"/>
      <w:lvlJc w:val="left"/>
      <w:pPr>
        <w:ind w:left="2821" w:hanging="348"/>
      </w:pPr>
      <w:rPr>
        <w:rFonts w:hint="default"/>
        <w:lang w:val="es-ES" w:eastAsia="es-ES" w:bidi="es-ES"/>
      </w:rPr>
    </w:lvl>
    <w:lvl w:ilvl="4">
      <w:start w:val="0"/>
      <w:numFmt w:val="bullet"/>
      <w:lvlText w:val="•"/>
      <w:lvlJc w:val="left"/>
      <w:pPr>
        <w:ind w:left="3762" w:hanging="348"/>
      </w:pPr>
      <w:rPr>
        <w:rFonts w:hint="default"/>
        <w:lang w:val="es-ES" w:eastAsia="es-ES" w:bidi="es-ES"/>
      </w:rPr>
    </w:lvl>
    <w:lvl w:ilvl="5">
      <w:start w:val="0"/>
      <w:numFmt w:val="bullet"/>
      <w:lvlText w:val="•"/>
      <w:lvlJc w:val="left"/>
      <w:pPr>
        <w:ind w:left="4702" w:hanging="348"/>
      </w:pPr>
      <w:rPr>
        <w:rFonts w:hint="default"/>
        <w:lang w:val="es-ES" w:eastAsia="es-ES" w:bidi="es-ES"/>
      </w:rPr>
    </w:lvl>
    <w:lvl w:ilvl="6">
      <w:start w:val="0"/>
      <w:numFmt w:val="bullet"/>
      <w:lvlText w:val="•"/>
      <w:lvlJc w:val="left"/>
      <w:pPr>
        <w:ind w:left="5643" w:hanging="348"/>
      </w:pPr>
      <w:rPr>
        <w:rFonts w:hint="default"/>
        <w:lang w:val="es-ES" w:eastAsia="es-ES" w:bidi="es-ES"/>
      </w:rPr>
    </w:lvl>
    <w:lvl w:ilvl="7">
      <w:start w:val="0"/>
      <w:numFmt w:val="bullet"/>
      <w:lvlText w:val="•"/>
      <w:lvlJc w:val="left"/>
      <w:pPr>
        <w:ind w:left="6584" w:hanging="348"/>
      </w:pPr>
      <w:rPr>
        <w:rFonts w:hint="default"/>
        <w:lang w:val="es-ES" w:eastAsia="es-ES" w:bidi="es-ES"/>
      </w:rPr>
    </w:lvl>
    <w:lvl w:ilvl="8">
      <w:start w:val="0"/>
      <w:numFmt w:val="bullet"/>
      <w:lvlText w:val="•"/>
      <w:lvlJc w:val="left"/>
      <w:pPr>
        <w:ind w:left="7524" w:hanging="348"/>
      </w:pPr>
      <w:rPr>
        <w:rFonts w:hint="default"/>
        <w:lang w:val="es-ES" w:eastAsia="es-ES" w:bidi="es-ES"/>
      </w:rPr>
    </w:lvl>
  </w:abstractNum>
  <w:abstractNum w:abstractNumId="14">
    <w:multiLevelType w:val="hybridMultilevel"/>
    <w:lvl w:ilvl="0">
      <w:start w:val="1"/>
      <w:numFmt w:val="lowerLetter"/>
      <w:lvlText w:val="%1)"/>
      <w:lvlJc w:val="left"/>
      <w:pPr>
        <w:ind w:left="218" w:hanging="312"/>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138" w:hanging="312"/>
      </w:pPr>
      <w:rPr>
        <w:rFonts w:hint="default"/>
        <w:lang w:val="es-ES" w:eastAsia="es-ES" w:bidi="es-ES"/>
      </w:rPr>
    </w:lvl>
    <w:lvl w:ilvl="2">
      <w:start w:val="0"/>
      <w:numFmt w:val="bullet"/>
      <w:lvlText w:val="•"/>
      <w:lvlJc w:val="left"/>
      <w:pPr>
        <w:ind w:left="2057" w:hanging="312"/>
      </w:pPr>
      <w:rPr>
        <w:rFonts w:hint="default"/>
        <w:lang w:val="es-ES" w:eastAsia="es-ES" w:bidi="es-ES"/>
      </w:rPr>
    </w:lvl>
    <w:lvl w:ilvl="3">
      <w:start w:val="0"/>
      <w:numFmt w:val="bullet"/>
      <w:lvlText w:val="•"/>
      <w:lvlJc w:val="left"/>
      <w:pPr>
        <w:ind w:left="2975" w:hanging="312"/>
      </w:pPr>
      <w:rPr>
        <w:rFonts w:hint="default"/>
        <w:lang w:val="es-ES" w:eastAsia="es-ES" w:bidi="es-ES"/>
      </w:rPr>
    </w:lvl>
    <w:lvl w:ilvl="4">
      <w:start w:val="0"/>
      <w:numFmt w:val="bullet"/>
      <w:lvlText w:val="•"/>
      <w:lvlJc w:val="left"/>
      <w:pPr>
        <w:ind w:left="3894" w:hanging="312"/>
      </w:pPr>
      <w:rPr>
        <w:rFonts w:hint="default"/>
        <w:lang w:val="es-ES" w:eastAsia="es-ES" w:bidi="es-ES"/>
      </w:rPr>
    </w:lvl>
    <w:lvl w:ilvl="5">
      <w:start w:val="0"/>
      <w:numFmt w:val="bullet"/>
      <w:lvlText w:val="•"/>
      <w:lvlJc w:val="left"/>
      <w:pPr>
        <w:ind w:left="4813" w:hanging="312"/>
      </w:pPr>
      <w:rPr>
        <w:rFonts w:hint="default"/>
        <w:lang w:val="es-ES" w:eastAsia="es-ES" w:bidi="es-ES"/>
      </w:rPr>
    </w:lvl>
    <w:lvl w:ilvl="6">
      <w:start w:val="0"/>
      <w:numFmt w:val="bullet"/>
      <w:lvlText w:val="•"/>
      <w:lvlJc w:val="left"/>
      <w:pPr>
        <w:ind w:left="5731" w:hanging="312"/>
      </w:pPr>
      <w:rPr>
        <w:rFonts w:hint="default"/>
        <w:lang w:val="es-ES" w:eastAsia="es-ES" w:bidi="es-ES"/>
      </w:rPr>
    </w:lvl>
    <w:lvl w:ilvl="7">
      <w:start w:val="0"/>
      <w:numFmt w:val="bullet"/>
      <w:lvlText w:val="•"/>
      <w:lvlJc w:val="left"/>
      <w:pPr>
        <w:ind w:left="6650" w:hanging="312"/>
      </w:pPr>
      <w:rPr>
        <w:rFonts w:hint="default"/>
        <w:lang w:val="es-ES" w:eastAsia="es-ES" w:bidi="es-ES"/>
      </w:rPr>
    </w:lvl>
    <w:lvl w:ilvl="8">
      <w:start w:val="0"/>
      <w:numFmt w:val="bullet"/>
      <w:lvlText w:val="•"/>
      <w:lvlJc w:val="left"/>
      <w:pPr>
        <w:ind w:left="7569" w:hanging="312"/>
      </w:pPr>
      <w:rPr>
        <w:rFonts w:hint="default"/>
        <w:lang w:val="es-ES" w:eastAsia="es-ES" w:bidi="es-ES"/>
      </w:rPr>
    </w:lvl>
  </w:abstractNum>
  <w:abstractNum w:abstractNumId="13">
    <w:multiLevelType w:val="hybridMultilevel"/>
    <w:lvl w:ilvl="0">
      <w:start w:val="1"/>
      <w:numFmt w:val="decimal"/>
      <w:lvlText w:val="%1."/>
      <w:lvlJc w:val="left"/>
      <w:pPr>
        <w:ind w:left="218" w:hanging="255"/>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138" w:hanging="255"/>
      </w:pPr>
      <w:rPr>
        <w:rFonts w:hint="default"/>
        <w:lang w:val="es-ES" w:eastAsia="es-ES" w:bidi="es-ES"/>
      </w:rPr>
    </w:lvl>
    <w:lvl w:ilvl="2">
      <w:start w:val="0"/>
      <w:numFmt w:val="bullet"/>
      <w:lvlText w:val="•"/>
      <w:lvlJc w:val="left"/>
      <w:pPr>
        <w:ind w:left="2057" w:hanging="255"/>
      </w:pPr>
      <w:rPr>
        <w:rFonts w:hint="default"/>
        <w:lang w:val="es-ES" w:eastAsia="es-ES" w:bidi="es-ES"/>
      </w:rPr>
    </w:lvl>
    <w:lvl w:ilvl="3">
      <w:start w:val="0"/>
      <w:numFmt w:val="bullet"/>
      <w:lvlText w:val="•"/>
      <w:lvlJc w:val="left"/>
      <w:pPr>
        <w:ind w:left="2975" w:hanging="255"/>
      </w:pPr>
      <w:rPr>
        <w:rFonts w:hint="default"/>
        <w:lang w:val="es-ES" w:eastAsia="es-ES" w:bidi="es-ES"/>
      </w:rPr>
    </w:lvl>
    <w:lvl w:ilvl="4">
      <w:start w:val="0"/>
      <w:numFmt w:val="bullet"/>
      <w:lvlText w:val="•"/>
      <w:lvlJc w:val="left"/>
      <w:pPr>
        <w:ind w:left="3894" w:hanging="255"/>
      </w:pPr>
      <w:rPr>
        <w:rFonts w:hint="default"/>
        <w:lang w:val="es-ES" w:eastAsia="es-ES" w:bidi="es-ES"/>
      </w:rPr>
    </w:lvl>
    <w:lvl w:ilvl="5">
      <w:start w:val="0"/>
      <w:numFmt w:val="bullet"/>
      <w:lvlText w:val="•"/>
      <w:lvlJc w:val="left"/>
      <w:pPr>
        <w:ind w:left="4813" w:hanging="255"/>
      </w:pPr>
      <w:rPr>
        <w:rFonts w:hint="default"/>
        <w:lang w:val="es-ES" w:eastAsia="es-ES" w:bidi="es-ES"/>
      </w:rPr>
    </w:lvl>
    <w:lvl w:ilvl="6">
      <w:start w:val="0"/>
      <w:numFmt w:val="bullet"/>
      <w:lvlText w:val="•"/>
      <w:lvlJc w:val="left"/>
      <w:pPr>
        <w:ind w:left="5731" w:hanging="255"/>
      </w:pPr>
      <w:rPr>
        <w:rFonts w:hint="default"/>
        <w:lang w:val="es-ES" w:eastAsia="es-ES" w:bidi="es-ES"/>
      </w:rPr>
    </w:lvl>
    <w:lvl w:ilvl="7">
      <w:start w:val="0"/>
      <w:numFmt w:val="bullet"/>
      <w:lvlText w:val="•"/>
      <w:lvlJc w:val="left"/>
      <w:pPr>
        <w:ind w:left="6650" w:hanging="255"/>
      </w:pPr>
      <w:rPr>
        <w:rFonts w:hint="default"/>
        <w:lang w:val="es-ES" w:eastAsia="es-ES" w:bidi="es-ES"/>
      </w:rPr>
    </w:lvl>
    <w:lvl w:ilvl="8">
      <w:start w:val="0"/>
      <w:numFmt w:val="bullet"/>
      <w:lvlText w:val="•"/>
      <w:lvlJc w:val="left"/>
      <w:pPr>
        <w:ind w:left="7569" w:hanging="255"/>
      </w:pPr>
      <w:rPr>
        <w:rFonts w:hint="default"/>
        <w:lang w:val="es-ES" w:eastAsia="es-ES" w:bidi="es-ES"/>
      </w:rPr>
    </w:lvl>
  </w:abstractNum>
  <w:abstractNum w:abstractNumId="12">
    <w:multiLevelType w:val="hybridMultilevel"/>
    <w:lvl w:ilvl="0">
      <w:start w:val="15"/>
      <w:numFmt w:val="decimal"/>
      <w:lvlText w:val="%1."/>
      <w:lvlJc w:val="left"/>
      <w:pPr>
        <w:ind w:left="218" w:hanging="365"/>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138" w:hanging="365"/>
      </w:pPr>
      <w:rPr>
        <w:rFonts w:hint="default"/>
        <w:lang w:val="es-ES" w:eastAsia="es-ES" w:bidi="es-ES"/>
      </w:rPr>
    </w:lvl>
    <w:lvl w:ilvl="2">
      <w:start w:val="0"/>
      <w:numFmt w:val="bullet"/>
      <w:lvlText w:val="•"/>
      <w:lvlJc w:val="left"/>
      <w:pPr>
        <w:ind w:left="2057" w:hanging="365"/>
      </w:pPr>
      <w:rPr>
        <w:rFonts w:hint="default"/>
        <w:lang w:val="es-ES" w:eastAsia="es-ES" w:bidi="es-ES"/>
      </w:rPr>
    </w:lvl>
    <w:lvl w:ilvl="3">
      <w:start w:val="0"/>
      <w:numFmt w:val="bullet"/>
      <w:lvlText w:val="•"/>
      <w:lvlJc w:val="left"/>
      <w:pPr>
        <w:ind w:left="2975" w:hanging="365"/>
      </w:pPr>
      <w:rPr>
        <w:rFonts w:hint="default"/>
        <w:lang w:val="es-ES" w:eastAsia="es-ES" w:bidi="es-ES"/>
      </w:rPr>
    </w:lvl>
    <w:lvl w:ilvl="4">
      <w:start w:val="0"/>
      <w:numFmt w:val="bullet"/>
      <w:lvlText w:val="•"/>
      <w:lvlJc w:val="left"/>
      <w:pPr>
        <w:ind w:left="3894" w:hanging="365"/>
      </w:pPr>
      <w:rPr>
        <w:rFonts w:hint="default"/>
        <w:lang w:val="es-ES" w:eastAsia="es-ES" w:bidi="es-ES"/>
      </w:rPr>
    </w:lvl>
    <w:lvl w:ilvl="5">
      <w:start w:val="0"/>
      <w:numFmt w:val="bullet"/>
      <w:lvlText w:val="•"/>
      <w:lvlJc w:val="left"/>
      <w:pPr>
        <w:ind w:left="4813" w:hanging="365"/>
      </w:pPr>
      <w:rPr>
        <w:rFonts w:hint="default"/>
        <w:lang w:val="es-ES" w:eastAsia="es-ES" w:bidi="es-ES"/>
      </w:rPr>
    </w:lvl>
    <w:lvl w:ilvl="6">
      <w:start w:val="0"/>
      <w:numFmt w:val="bullet"/>
      <w:lvlText w:val="•"/>
      <w:lvlJc w:val="left"/>
      <w:pPr>
        <w:ind w:left="5731" w:hanging="365"/>
      </w:pPr>
      <w:rPr>
        <w:rFonts w:hint="default"/>
        <w:lang w:val="es-ES" w:eastAsia="es-ES" w:bidi="es-ES"/>
      </w:rPr>
    </w:lvl>
    <w:lvl w:ilvl="7">
      <w:start w:val="0"/>
      <w:numFmt w:val="bullet"/>
      <w:lvlText w:val="•"/>
      <w:lvlJc w:val="left"/>
      <w:pPr>
        <w:ind w:left="6650" w:hanging="365"/>
      </w:pPr>
      <w:rPr>
        <w:rFonts w:hint="default"/>
        <w:lang w:val="es-ES" w:eastAsia="es-ES" w:bidi="es-ES"/>
      </w:rPr>
    </w:lvl>
    <w:lvl w:ilvl="8">
      <w:start w:val="0"/>
      <w:numFmt w:val="bullet"/>
      <w:lvlText w:val="•"/>
      <w:lvlJc w:val="left"/>
      <w:pPr>
        <w:ind w:left="7569" w:hanging="365"/>
      </w:pPr>
      <w:rPr>
        <w:rFonts w:hint="default"/>
        <w:lang w:val="es-ES" w:eastAsia="es-ES" w:bidi="es-ES"/>
      </w:rPr>
    </w:lvl>
  </w:abstractNum>
  <w:abstractNum w:abstractNumId="11">
    <w:multiLevelType w:val="hybridMultilevel"/>
    <w:lvl w:ilvl="0">
      <w:start w:val="3"/>
      <w:numFmt w:val="lowerLetter"/>
      <w:lvlText w:val="%1"/>
      <w:lvlJc w:val="left"/>
      <w:pPr>
        <w:ind w:left="218" w:hanging="461"/>
        <w:jc w:val="left"/>
      </w:pPr>
      <w:rPr>
        <w:rFonts w:hint="default"/>
        <w:lang w:val="es-ES" w:eastAsia="es-ES" w:bidi="es-ES"/>
      </w:rPr>
    </w:lvl>
    <w:lvl w:ilvl="1">
      <w:start w:val="1"/>
      <w:numFmt w:val="decimal"/>
      <w:lvlText w:val="%1.%2)"/>
      <w:lvlJc w:val="left"/>
      <w:pPr>
        <w:ind w:left="218" w:hanging="461"/>
        <w:jc w:val="left"/>
      </w:pPr>
      <w:rPr>
        <w:rFonts w:hint="default" w:ascii="Times New Roman" w:hAnsi="Times New Roman" w:eastAsia="Times New Roman" w:cs="Times New Roman"/>
        <w:spacing w:val="-26"/>
        <w:w w:val="99"/>
        <w:sz w:val="24"/>
        <w:szCs w:val="24"/>
        <w:lang w:val="es-ES" w:eastAsia="es-ES" w:bidi="es-ES"/>
      </w:rPr>
    </w:lvl>
    <w:lvl w:ilvl="2">
      <w:start w:val="0"/>
      <w:numFmt w:val="bullet"/>
      <w:lvlText w:val="•"/>
      <w:lvlJc w:val="left"/>
      <w:pPr>
        <w:ind w:left="2057" w:hanging="461"/>
      </w:pPr>
      <w:rPr>
        <w:rFonts w:hint="default"/>
        <w:lang w:val="es-ES" w:eastAsia="es-ES" w:bidi="es-ES"/>
      </w:rPr>
    </w:lvl>
    <w:lvl w:ilvl="3">
      <w:start w:val="0"/>
      <w:numFmt w:val="bullet"/>
      <w:lvlText w:val="•"/>
      <w:lvlJc w:val="left"/>
      <w:pPr>
        <w:ind w:left="2975" w:hanging="461"/>
      </w:pPr>
      <w:rPr>
        <w:rFonts w:hint="default"/>
        <w:lang w:val="es-ES" w:eastAsia="es-ES" w:bidi="es-ES"/>
      </w:rPr>
    </w:lvl>
    <w:lvl w:ilvl="4">
      <w:start w:val="0"/>
      <w:numFmt w:val="bullet"/>
      <w:lvlText w:val="•"/>
      <w:lvlJc w:val="left"/>
      <w:pPr>
        <w:ind w:left="3894" w:hanging="461"/>
      </w:pPr>
      <w:rPr>
        <w:rFonts w:hint="default"/>
        <w:lang w:val="es-ES" w:eastAsia="es-ES" w:bidi="es-ES"/>
      </w:rPr>
    </w:lvl>
    <w:lvl w:ilvl="5">
      <w:start w:val="0"/>
      <w:numFmt w:val="bullet"/>
      <w:lvlText w:val="•"/>
      <w:lvlJc w:val="left"/>
      <w:pPr>
        <w:ind w:left="4813" w:hanging="461"/>
      </w:pPr>
      <w:rPr>
        <w:rFonts w:hint="default"/>
        <w:lang w:val="es-ES" w:eastAsia="es-ES" w:bidi="es-ES"/>
      </w:rPr>
    </w:lvl>
    <w:lvl w:ilvl="6">
      <w:start w:val="0"/>
      <w:numFmt w:val="bullet"/>
      <w:lvlText w:val="•"/>
      <w:lvlJc w:val="left"/>
      <w:pPr>
        <w:ind w:left="5731" w:hanging="461"/>
      </w:pPr>
      <w:rPr>
        <w:rFonts w:hint="default"/>
        <w:lang w:val="es-ES" w:eastAsia="es-ES" w:bidi="es-ES"/>
      </w:rPr>
    </w:lvl>
    <w:lvl w:ilvl="7">
      <w:start w:val="0"/>
      <w:numFmt w:val="bullet"/>
      <w:lvlText w:val="•"/>
      <w:lvlJc w:val="left"/>
      <w:pPr>
        <w:ind w:left="6650" w:hanging="461"/>
      </w:pPr>
      <w:rPr>
        <w:rFonts w:hint="default"/>
        <w:lang w:val="es-ES" w:eastAsia="es-ES" w:bidi="es-ES"/>
      </w:rPr>
    </w:lvl>
    <w:lvl w:ilvl="8">
      <w:start w:val="0"/>
      <w:numFmt w:val="bullet"/>
      <w:lvlText w:val="•"/>
      <w:lvlJc w:val="left"/>
      <w:pPr>
        <w:ind w:left="7569" w:hanging="461"/>
      </w:pPr>
      <w:rPr>
        <w:rFonts w:hint="default"/>
        <w:lang w:val="es-ES" w:eastAsia="es-ES" w:bidi="es-ES"/>
      </w:rPr>
    </w:lvl>
  </w:abstractNum>
  <w:abstractNum w:abstractNumId="10">
    <w:multiLevelType w:val="hybridMultilevel"/>
    <w:lvl w:ilvl="0">
      <w:start w:val="1"/>
      <w:numFmt w:val="lowerLetter"/>
      <w:lvlText w:val="%1)"/>
      <w:lvlJc w:val="left"/>
      <w:pPr>
        <w:ind w:left="218" w:hanging="276"/>
        <w:jc w:val="left"/>
      </w:pPr>
      <w:rPr>
        <w:rFonts w:hint="default" w:ascii="Times New Roman" w:hAnsi="Times New Roman" w:eastAsia="Times New Roman" w:cs="Times New Roman"/>
        <w:spacing w:val="-30"/>
        <w:w w:val="99"/>
        <w:sz w:val="24"/>
        <w:szCs w:val="24"/>
        <w:lang w:val="es-ES" w:eastAsia="es-ES" w:bidi="es-ES"/>
      </w:rPr>
    </w:lvl>
    <w:lvl w:ilvl="1">
      <w:start w:val="1"/>
      <w:numFmt w:val="decimal"/>
      <w:lvlText w:val="%1.%2)"/>
      <w:lvlJc w:val="left"/>
      <w:pPr>
        <w:ind w:left="218" w:hanging="440"/>
        <w:jc w:val="left"/>
      </w:pPr>
      <w:rPr>
        <w:rFonts w:hint="default" w:ascii="Times New Roman" w:hAnsi="Times New Roman" w:eastAsia="Times New Roman" w:cs="Times New Roman"/>
        <w:spacing w:val="-4"/>
        <w:w w:val="99"/>
        <w:sz w:val="24"/>
        <w:szCs w:val="24"/>
        <w:lang w:val="es-ES" w:eastAsia="es-ES" w:bidi="es-ES"/>
      </w:rPr>
    </w:lvl>
    <w:lvl w:ilvl="2">
      <w:start w:val="0"/>
      <w:numFmt w:val="bullet"/>
      <w:lvlText w:val="•"/>
      <w:lvlJc w:val="left"/>
      <w:pPr>
        <w:ind w:left="2057" w:hanging="440"/>
      </w:pPr>
      <w:rPr>
        <w:rFonts w:hint="default"/>
        <w:lang w:val="es-ES" w:eastAsia="es-ES" w:bidi="es-ES"/>
      </w:rPr>
    </w:lvl>
    <w:lvl w:ilvl="3">
      <w:start w:val="0"/>
      <w:numFmt w:val="bullet"/>
      <w:lvlText w:val="•"/>
      <w:lvlJc w:val="left"/>
      <w:pPr>
        <w:ind w:left="2975" w:hanging="440"/>
      </w:pPr>
      <w:rPr>
        <w:rFonts w:hint="default"/>
        <w:lang w:val="es-ES" w:eastAsia="es-ES" w:bidi="es-ES"/>
      </w:rPr>
    </w:lvl>
    <w:lvl w:ilvl="4">
      <w:start w:val="0"/>
      <w:numFmt w:val="bullet"/>
      <w:lvlText w:val="•"/>
      <w:lvlJc w:val="left"/>
      <w:pPr>
        <w:ind w:left="3894" w:hanging="440"/>
      </w:pPr>
      <w:rPr>
        <w:rFonts w:hint="default"/>
        <w:lang w:val="es-ES" w:eastAsia="es-ES" w:bidi="es-ES"/>
      </w:rPr>
    </w:lvl>
    <w:lvl w:ilvl="5">
      <w:start w:val="0"/>
      <w:numFmt w:val="bullet"/>
      <w:lvlText w:val="•"/>
      <w:lvlJc w:val="left"/>
      <w:pPr>
        <w:ind w:left="4813" w:hanging="440"/>
      </w:pPr>
      <w:rPr>
        <w:rFonts w:hint="default"/>
        <w:lang w:val="es-ES" w:eastAsia="es-ES" w:bidi="es-ES"/>
      </w:rPr>
    </w:lvl>
    <w:lvl w:ilvl="6">
      <w:start w:val="0"/>
      <w:numFmt w:val="bullet"/>
      <w:lvlText w:val="•"/>
      <w:lvlJc w:val="left"/>
      <w:pPr>
        <w:ind w:left="5731" w:hanging="440"/>
      </w:pPr>
      <w:rPr>
        <w:rFonts w:hint="default"/>
        <w:lang w:val="es-ES" w:eastAsia="es-ES" w:bidi="es-ES"/>
      </w:rPr>
    </w:lvl>
    <w:lvl w:ilvl="7">
      <w:start w:val="0"/>
      <w:numFmt w:val="bullet"/>
      <w:lvlText w:val="•"/>
      <w:lvlJc w:val="left"/>
      <w:pPr>
        <w:ind w:left="6650" w:hanging="440"/>
      </w:pPr>
      <w:rPr>
        <w:rFonts w:hint="default"/>
        <w:lang w:val="es-ES" w:eastAsia="es-ES" w:bidi="es-ES"/>
      </w:rPr>
    </w:lvl>
    <w:lvl w:ilvl="8">
      <w:start w:val="0"/>
      <w:numFmt w:val="bullet"/>
      <w:lvlText w:val="•"/>
      <w:lvlJc w:val="left"/>
      <w:pPr>
        <w:ind w:left="7569" w:hanging="440"/>
      </w:pPr>
      <w:rPr>
        <w:rFonts w:hint="default"/>
        <w:lang w:val="es-ES" w:eastAsia="es-ES" w:bidi="es-ES"/>
      </w:rPr>
    </w:lvl>
  </w:abstractNum>
  <w:abstractNum w:abstractNumId="9">
    <w:multiLevelType w:val="hybridMultilevel"/>
    <w:lvl w:ilvl="0">
      <w:start w:val="1"/>
      <w:numFmt w:val="lowerLetter"/>
      <w:lvlText w:val="%1)"/>
      <w:lvlJc w:val="left"/>
      <w:pPr>
        <w:ind w:left="218" w:hanging="255"/>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138" w:hanging="255"/>
      </w:pPr>
      <w:rPr>
        <w:rFonts w:hint="default"/>
        <w:lang w:val="es-ES" w:eastAsia="es-ES" w:bidi="es-ES"/>
      </w:rPr>
    </w:lvl>
    <w:lvl w:ilvl="2">
      <w:start w:val="0"/>
      <w:numFmt w:val="bullet"/>
      <w:lvlText w:val="•"/>
      <w:lvlJc w:val="left"/>
      <w:pPr>
        <w:ind w:left="2057" w:hanging="255"/>
      </w:pPr>
      <w:rPr>
        <w:rFonts w:hint="default"/>
        <w:lang w:val="es-ES" w:eastAsia="es-ES" w:bidi="es-ES"/>
      </w:rPr>
    </w:lvl>
    <w:lvl w:ilvl="3">
      <w:start w:val="0"/>
      <w:numFmt w:val="bullet"/>
      <w:lvlText w:val="•"/>
      <w:lvlJc w:val="left"/>
      <w:pPr>
        <w:ind w:left="2975" w:hanging="255"/>
      </w:pPr>
      <w:rPr>
        <w:rFonts w:hint="default"/>
        <w:lang w:val="es-ES" w:eastAsia="es-ES" w:bidi="es-ES"/>
      </w:rPr>
    </w:lvl>
    <w:lvl w:ilvl="4">
      <w:start w:val="0"/>
      <w:numFmt w:val="bullet"/>
      <w:lvlText w:val="•"/>
      <w:lvlJc w:val="left"/>
      <w:pPr>
        <w:ind w:left="3894" w:hanging="255"/>
      </w:pPr>
      <w:rPr>
        <w:rFonts w:hint="default"/>
        <w:lang w:val="es-ES" w:eastAsia="es-ES" w:bidi="es-ES"/>
      </w:rPr>
    </w:lvl>
    <w:lvl w:ilvl="5">
      <w:start w:val="0"/>
      <w:numFmt w:val="bullet"/>
      <w:lvlText w:val="•"/>
      <w:lvlJc w:val="left"/>
      <w:pPr>
        <w:ind w:left="4813" w:hanging="255"/>
      </w:pPr>
      <w:rPr>
        <w:rFonts w:hint="default"/>
        <w:lang w:val="es-ES" w:eastAsia="es-ES" w:bidi="es-ES"/>
      </w:rPr>
    </w:lvl>
    <w:lvl w:ilvl="6">
      <w:start w:val="0"/>
      <w:numFmt w:val="bullet"/>
      <w:lvlText w:val="•"/>
      <w:lvlJc w:val="left"/>
      <w:pPr>
        <w:ind w:left="5731" w:hanging="255"/>
      </w:pPr>
      <w:rPr>
        <w:rFonts w:hint="default"/>
        <w:lang w:val="es-ES" w:eastAsia="es-ES" w:bidi="es-ES"/>
      </w:rPr>
    </w:lvl>
    <w:lvl w:ilvl="7">
      <w:start w:val="0"/>
      <w:numFmt w:val="bullet"/>
      <w:lvlText w:val="•"/>
      <w:lvlJc w:val="left"/>
      <w:pPr>
        <w:ind w:left="6650" w:hanging="255"/>
      </w:pPr>
      <w:rPr>
        <w:rFonts w:hint="default"/>
        <w:lang w:val="es-ES" w:eastAsia="es-ES" w:bidi="es-ES"/>
      </w:rPr>
    </w:lvl>
    <w:lvl w:ilvl="8">
      <w:start w:val="0"/>
      <w:numFmt w:val="bullet"/>
      <w:lvlText w:val="•"/>
      <w:lvlJc w:val="left"/>
      <w:pPr>
        <w:ind w:left="7569" w:hanging="255"/>
      </w:pPr>
      <w:rPr>
        <w:rFonts w:hint="default"/>
        <w:lang w:val="es-ES" w:eastAsia="es-ES" w:bidi="es-ES"/>
      </w:rPr>
    </w:lvl>
  </w:abstractNum>
  <w:abstractNum w:abstractNumId="8">
    <w:multiLevelType w:val="hybridMultilevel"/>
    <w:lvl w:ilvl="0">
      <w:start w:val="1"/>
      <w:numFmt w:val="lowerLetter"/>
      <w:lvlText w:val="%1)"/>
      <w:lvlJc w:val="left"/>
      <w:pPr>
        <w:ind w:left="218" w:hanging="276"/>
        <w:jc w:val="left"/>
      </w:pPr>
      <w:rPr>
        <w:rFonts w:hint="default" w:ascii="Times New Roman" w:hAnsi="Times New Roman" w:eastAsia="Times New Roman" w:cs="Times New Roman"/>
        <w:spacing w:val="-30"/>
        <w:w w:val="99"/>
        <w:sz w:val="24"/>
        <w:szCs w:val="24"/>
        <w:lang w:val="es-ES" w:eastAsia="es-ES" w:bidi="es-ES"/>
      </w:rPr>
    </w:lvl>
    <w:lvl w:ilvl="1">
      <w:start w:val="0"/>
      <w:numFmt w:val="bullet"/>
      <w:lvlText w:val="•"/>
      <w:lvlJc w:val="left"/>
      <w:pPr>
        <w:ind w:left="1138" w:hanging="276"/>
      </w:pPr>
      <w:rPr>
        <w:rFonts w:hint="default"/>
        <w:lang w:val="es-ES" w:eastAsia="es-ES" w:bidi="es-ES"/>
      </w:rPr>
    </w:lvl>
    <w:lvl w:ilvl="2">
      <w:start w:val="0"/>
      <w:numFmt w:val="bullet"/>
      <w:lvlText w:val="•"/>
      <w:lvlJc w:val="left"/>
      <w:pPr>
        <w:ind w:left="2057" w:hanging="276"/>
      </w:pPr>
      <w:rPr>
        <w:rFonts w:hint="default"/>
        <w:lang w:val="es-ES" w:eastAsia="es-ES" w:bidi="es-ES"/>
      </w:rPr>
    </w:lvl>
    <w:lvl w:ilvl="3">
      <w:start w:val="0"/>
      <w:numFmt w:val="bullet"/>
      <w:lvlText w:val="•"/>
      <w:lvlJc w:val="left"/>
      <w:pPr>
        <w:ind w:left="2975" w:hanging="276"/>
      </w:pPr>
      <w:rPr>
        <w:rFonts w:hint="default"/>
        <w:lang w:val="es-ES" w:eastAsia="es-ES" w:bidi="es-ES"/>
      </w:rPr>
    </w:lvl>
    <w:lvl w:ilvl="4">
      <w:start w:val="0"/>
      <w:numFmt w:val="bullet"/>
      <w:lvlText w:val="•"/>
      <w:lvlJc w:val="left"/>
      <w:pPr>
        <w:ind w:left="3894" w:hanging="276"/>
      </w:pPr>
      <w:rPr>
        <w:rFonts w:hint="default"/>
        <w:lang w:val="es-ES" w:eastAsia="es-ES" w:bidi="es-ES"/>
      </w:rPr>
    </w:lvl>
    <w:lvl w:ilvl="5">
      <w:start w:val="0"/>
      <w:numFmt w:val="bullet"/>
      <w:lvlText w:val="•"/>
      <w:lvlJc w:val="left"/>
      <w:pPr>
        <w:ind w:left="4813" w:hanging="276"/>
      </w:pPr>
      <w:rPr>
        <w:rFonts w:hint="default"/>
        <w:lang w:val="es-ES" w:eastAsia="es-ES" w:bidi="es-ES"/>
      </w:rPr>
    </w:lvl>
    <w:lvl w:ilvl="6">
      <w:start w:val="0"/>
      <w:numFmt w:val="bullet"/>
      <w:lvlText w:val="•"/>
      <w:lvlJc w:val="left"/>
      <w:pPr>
        <w:ind w:left="5731" w:hanging="276"/>
      </w:pPr>
      <w:rPr>
        <w:rFonts w:hint="default"/>
        <w:lang w:val="es-ES" w:eastAsia="es-ES" w:bidi="es-ES"/>
      </w:rPr>
    </w:lvl>
    <w:lvl w:ilvl="7">
      <w:start w:val="0"/>
      <w:numFmt w:val="bullet"/>
      <w:lvlText w:val="•"/>
      <w:lvlJc w:val="left"/>
      <w:pPr>
        <w:ind w:left="6650" w:hanging="276"/>
      </w:pPr>
      <w:rPr>
        <w:rFonts w:hint="default"/>
        <w:lang w:val="es-ES" w:eastAsia="es-ES" w:bidi="es-ES"/>
      </w:rPr>
    </w:lvl>
    <w:lvl w:ilvl="8">
      <w:start w:val="0"/>
      <w:numFmt w:val="bullet"/>
      <w:lvlText w:val="•"/>
      <w:lvlJc w:val="left"/>
      <w:pPr>
        <w:ind w:left="7569" w:hanging="276"/>
      </w:pPr>
      <w:rPr>
        <w:rFonts w:hint="default"/>
        <w:lang w:val="es-ES" w:eastAsia="es-ES" w:bidi="es-ES"/>
      </w:rPr>
    </w:lvl>
  </w:abstractNum>
  <w:abstractNum w:abstractNumId="7">
    <w:multiLevelType w:val="hybridMultilevel"/>
    <w:lvl w:ilvl="0">
      <w:start w:val="1"/>
      <w:numFmt w:val="lowerLetter"/>
      <w:lvlText w:val="%1)"/>
      <w:lvlJc w:val="left"/>
      <w:pPr>
        <w:ind w:left="218" w:hanging="262"/>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138" w:hanging="262"/>
      </w:pPr>
      <w:rPr>
        <w:rFonts w:hint="default"/>
        <w:lang w:val="es-ES" w:eastAsia="es-ES" w:bidi="es-ES"/>
      </w:rPr>
    </w:lvl>
    <w:lvl w:ilvl="2">
      <w:start w:val="0"/>
      <w:numFmt w:val="bullet"/>
      <w:lvlText w:val="•"/>
      <w:lvlJc w:val="left"/>
      <w:pPr>
        <w:ind w:left="2057" w:hanging="262"/>
      </w:pPr>
      <w:rPr>
        <w:rFonts w:hint="default"/>
        <w:lang w:val="es-ES" w:eastAsia="es-ES" w:bidi="es-ES"/>
      </w:rPr>
    </w:lvl>
    <w:lvl w:ilvl="3">
      <w:start w:val="0"/>
      <w:numFmt w:val="bullet"/>
      <w:lvlText w:val="•"/>
      <w:lvlJc w:val="left"/>
      <w:pPr>
        <w:ind w:left="2975" w:hanging="262"/>
      </w:pPr>
      <w:rPr>
        <w:rFonts w:hint="default"/>
        <w:lang w:val="es-ES" w:eastAsia="es-ES" w:bidi="es-ES"/>
      </w:rPr>
    </w:lvl>
    <w:lvl w:ilvl="4">
      <w:start w:val="0"/>
      <w:numFmt w:val="bullet"/>
      <w:lvlText w:val="•"/>
      <w:lvlJc w:val="left"/>
      <w:pPr>
        <w:ind w:left="3894" w:hanging="262"/>
      </w:pPr>
      <w:rPr>
        <w:rFonts w:hint="default"/>
        <w:lang w:val="es-ES" w:eastAsia="es-ES" w:bidi="es-ES"/>
      </w:rPr>
    </w:lvl>
    <w:lvl w:ilvl="5">
      <w:start w:val="0"/>
      <w:numFmt w:val="bullet"/>
      <w:lvlText w:val="•"/>
      <w:lvlJc w:val="left"/>
      <w:pPr>
        <w:ind w:left="4813" w:hanging="262"/>
      </w:pPr>
      <w:rPr>
        <w:rFonts w:hint="default"/>
        <w:lang w:val="es-ES" w:eastAsia="es-ES" w:bidi="es-ES"/>
      </w:rPr>
    </w:lvl>
    <w:lvl w:ilvl="6">
      <w:start w:val="0"/>
      <w:numFmt w:val="bullet"/>
      <w:lvlText w:val="•"/>
      <w:lvlJc w:val="left"/>
      <w:pPr>
        <w:ind w:left="5731" w:hanging="262"/>
      </w:pPr>
      <w:rPr>
        <w:rFonts w:hint="default"/>
        <w:lang w:val="es-ES" w:eastAsia="es-ES" w:bidi="es-ES"/>
      </w:rPr>
    </w:lvl>
    <w:lvl w:ilvl="7">
      <w:start w:val="0"/>
      <w:numFmt w:val="bullet"/>
      <w:lvlText w:val="•"/>
      <w:lvlJc w:val="left"/>
      <w:pPr>
        <w:ind w:left="6650" w:hanging="262"/>
      </w:pPr>
      <w:rPr>
        <w:rFonts w:hint="default"/>
        <w:lang w:val="es-ES" w:eastAsia="es-ES" w:bidi="es-ES"/>
      </w:rPr>
    </w:lvl>
    <w:lvl w:ilvl="8">
      <w:start w:val="0"/>
      <w:numFmt w:val="bullet"/>
      <w:lvlText w:val="•"/>
      <w:lvlJc w:val="left"/>
      <w:pPr>
        <w:ind w:left="7569" w:hanging="262"/>
      </w:pPr>
      <w:rPr>
        <w:rFonts w:hint="default"/>
        <w:lang w:val="es-ES" w:eastAsia="es-ES" w:bidi="es-ES"/>
      </w:rPr>
    </w:lvl>
  </w:abstractNum>
  <w:abstractNum w:abstractNumId="6">
    <w:multiLevelType w:val="hybridMultilevel"/>
    <w:lvl w:ilvl="0">
      <w:start w:val="9"/>
      <w:numFmt w:val="decimal"/>
      <w:lvlText w:val="%1."/>
      <w:lvlJc w:val="left"/>
      <w:pPr>
        <w:ind w:left="218" w:hanging="269"/>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138" w:hanging="269"/>
      </w:pPr>
      <w:rPr>
        <w:rFonts w:hint="default"/>
        <w:lang w:val="es-ES" w:eastAsia="es-ES" w:bidi="es-ES"/>
      </w:rPr>
    </w:lvl>
    <w:lvl w:ilvl="2">
      <w:start w:val="0"/>
      <w:numFmt w:val="bullet"/>
      <w:lvlText w:val="•"/>
      <w:lvlJc w:val="left"/>
      <w:pPr>
        <w:ind w:left="2057" w:hanging="269"/>
      </w:pPr>
      <w:rPr>
        <w:rFonts w:hint="default"/>
        <w:lang w:val="es-ES" w:eastAsia="es-ES" w:bidi="es-ES"/>
      </w:rPr>
    </w:lvl>
    <w:lvl w:ilvl="3">
      <w:start w:val="0"/>
      <w:numFmt w:val="bullet"/>
      <w:lvlText w:val="•"/>
      <w:lvlJc w:val="left"/>
      <w:pPr>
        <w:ind w:left="2975" w:hanging="269"/>
      </w:pPr>
      <w:rPr>
        <w:rFonts w:hint="default"/>
        <w:lang w:val="es-ES" w:eastAsia="es-ES" w:bidi="es-ES"/>
      </w:rPr>
    </w:lvl>
    <w:lvl w:ilvl="4">
      <w:start w:val="0"/>
      <w:numFmt w:val="bullet"/>
      <w:lvlText w:val="•"/>
      <w:lvlJc w:val="left"/>
      <w:pPr>
        <w:ind w:left="3894" w:hanging="269"/>
      </w:pPr>
      <w:rPr>
        <w:rFonts w:hint="default"/>
        <w:lang w:val="es-ES" w:eastAsia="es-ES" w:bidi="es-ES"/>
      </w:rPr>
    </w:lvl>
    <w:lvl w:ilvl="5">
      <w:start w:val="0"/>
      <w:numFmt w:val="bullet"/>
      <w:lvlText w:val="•"/>
      <w:lvlJc w:val="left"/>
      <w:pPr>
        <w:ind w:left="4813" w:hanging="269"/>
      </w:pPr>
      <w:rPr>
        <w:rFonts w:hint="default"/>
        <w:lang w:val="es-ES" w:eastAsia="es-ES" w:bidi="es-ES"/>
      </w:rPr>
    </w:lvl>
    <w:lvl w:ilvl="6">
      <w:start w:val="0"/>
      <w:numFmt w:val="bullet"/>
      <w:lvlText w:val="•"/>
      <w:lvlJc w:val="left"/>
      <w:pPr>
        <w:ind w:left="5731" w:hanging="269"/>
      </w:pPr>
      <w:rPr>
        <w:rFonts w:hint="default"/>
        <w:lang w:val="es-ES" w:eastAsia="es-ES" w:bidi="es-ES"/>
      </w:rPr>
    </w:lvl>
    <w:lvl w:ilvl="7">
      <w:start w:val="0"/>
      <w:numFmt w:val="bullet"/>
      <w:lvlText w:val="•"/>
      <w:lvlJc w:val="left"/>
      <w:pPr>
        <w:ind w:left="6650" w:hanging="269"/>
      </w:pPr>
      <w:rPr>
        <w:rFonts w:hint="default"/>
        <w:lang w:val="es-ES" w:eastAsia="es-ES" w:bidi="es-ES"/>
      </w:rPr>
    </w:lvl>
    <w:lvl w:ilvl="8">
      <w:start w:val="0"/>
      <w:numFmt w:val="bullet"/>
      <w:lvlText w:val="•"/>
      <w:lvlJc w:val="left"/>
      <w:pPr>
        <w:ind w:left="7569" w:hanging="269"/>
      </w:pPr>
      <w:rPr>
        <w:rFonts w:hint="default"/>
        <w:lang w:val="es-ES" w:eastAsia="es-ES" w:bidi="es-ES"/>
      </w:rPr>
    </w:lvl>
  </w:abstractNum>
  <w:abstractNum w:abstractNumId="5">
    <w:multiLevelType w:val="hybridMultilevel"/>
    <w:lvl w:ilvl="0">
      <w:start w:val="0"/>
      <w:numFmt w:val="bullet"/>
      <w:lvlText w:val="-"/>
      <w:lvlJc w:val="left"/>
      <w:pPr>
        <w:ind w:left="218" w:hanging="180"/>
      </w:pPr>
      <w:rPr>
        <w:rFonts w:hint="default" w:ascii="Times New Roman" w:hAnsi="Times New Roman" w:eastAsia="Times New Roman" w:cs="Times New Roman"/>
        <w:spacing w:val="-21"/>
        <w:w w:val="99"/>
        <w:sz w:val="24"/>
        <w:szCs w:val="24"/>
        <w:lang w:val="es-ES" w:eastAsia="es-ES" w:bidi="es-ES"/>
      </w:rPr>
    </w:lvl>
    <w:lvl w:ilvl="1">
      <w:start w:val="0"/>
      <w:numFmt w:val="bullet"/>
      <w:lvlText w:val="•"/>
      <w:lvlJc w:val="left"/>
      <w:pPr>
        <w:ind w:left="1138" w:hanging="180"/>
      </w:pPr>
      <w:rPr>
        <w:rFonts w:hint="default"/>
        <w:lang w:val="es-ES" w:eastAsia="es-ES" w:bidi="es-ES"/>
      </w:rPr>
    </w:lvl>
    <w:lvl w:ilvl="2">
      <w:start w:val="0"/>
      <w:numFmt w:val="bullet"/>
      <w:lvlText w:val="•"/>
      <w:lvlJc w:val="left"/>
      <w:pPr>
        <w:ind w:left="2057" w:hanging="180"/>
      </w:pPr>
      <w:rPr>
        <w:rFonts w:hint="default"/>
        <w:lang w:val="es-ES" w:eastAsia="es-ES" w:bidi="es-ES"/>
      </w:rPr>
    </w:lvl>
    <w:lvl w:ilvl="3">
      <w:start w:val="0"/>
      <w:numFmt w:val="bullet"/>
      <w:lvlText w:val="•"/>
      <w:lvlJc w:val="left"/>
      <w:pPr>
        <w:ind w:left="2975" w:hanging="180"/>
      </w:pPr>
      <w:rPr>
        <w:rFonts w:hint="default"/>
        <w:lang w:val="es-ES" w:eastAsia="es-ES" w:bidi="es-ES"/>
      </w:rPr>
    </w:lvl>
    <w:lvl w:ilvl="4">
      <w:start w:val="0"/>
      <w:numFmt w:val="bullet"/>
      <w:lvlText w:val="•"/>
      <w:lvlJc w:val="left"/>
      <w:pPr>
        <w:ind w:left="3894" w:hanging="180"/>
      </w:pPr>
      <w:rPr>
        <w:rFonts w:hint="default"/>
        <w:lang w:val="es-ES" w:eastAsia="es-ES" w:bidi="es-ES"/>
      </w:rPr>
    </w:lvl>
    <w:lvl w:ilvl="5">
      <w:start w:val="0"/>
      <w:numFmt w:val="bullet"/>
      <w:lvlText w:val="•"/>
      <w:lvlJc w:val="left"/>
      <w:pPr>
        <w:ind w:left="4813" w:hanging="180"/>
      </w:pPr>
      <w:rPr>
        <w:rFonts w:hint="default"/>
        <w:lang w:val="es-ES" w:eastAsia="es-ES" w:bidi="es-ES"/>
      </w:rPr>
    </w:lvl>
    <w:lvl w:ilvl="6">
      <w:start w:val="0"/>
      <w:numFmt w:val="bullet"/>
      <w:lvlText w:val="•"/>
      <w:lvlJc w:val="left"/>
      <w:pPr>
        <w:ind w:left="5731" w:hanging="180"/>
      </w:pPr>
      <w:rPr>
        <w:rFonts w:hint="default"/>
        <w:lang w:val="es-ES" w:eastAsia="es-ES" w:bidi="es-ES"/>
      </w:rPr>
    </w:lvl>
    <w:lvl w:ilvl="7">
      <w:start w:val="0"/>
      <w:numFmt w:val="bullet"/>
      <w:lvlText w:val="•"/>
      <w:lvlJc w:val="left"/>
      <w:pPr>
        <w:ind w:left="6650" w:hanging="180"/>
      </w:pPr>
      <w:rPr>
        <w:rFonts w:hint="default"/>
        <w:lang w:val="es-ES" w:eastAsia="es-ES" w:bidi="es-ES"/>
      </w:rPr>
    </w:lvl>
    <w:lvl w:ilvl="8">
      <w:start w:val="0"/>
      <w:numFmt w:val="bullet"/>
      <w:lvlText w:val="•"/>
      <w:lvlJc w:val="left"/>
      <w:pPr>
        <w:ind w:left="7569" w:hanging="180"/>
      </w:pPr>
      <w:rPr>
        <w:rFonts w:hint="default"/>
        <w:lang w:val="es-ES" w:eastAsia="es-ES" w:bidi="es-ES"/>
      </w:rPr>
    </w:lvl>
  </w:abstractNum>
  <w:abstractNum w:abstractNumId="4">
    <w:multiLevelType w:val="hybridMultilevel"/>
    <w:lvl w:ilvl="0">
      <w:start w:val="1"/>
      <w:numFmt w:val="lowerLetter"/>
      <w:lvlText w:val="%1)"/>
      <w:lvlJc w:val="left"/>
      <w:pPr>
        <w:ind w:left="218" w:hanging="298"/>
        <w:jc w:val="left"/>
      </w:pPr>
      <w:rPr>
        <w:rFonts w:hint="default"/>
        <w:spacing w:val="-9"/>
        <w:w w:val="99"/>
        <w:lang w:val="es-ES" w:eastAsia="es-ES" w:bidi="es-ES"/>
      </w:rPr>
    </w:lvl>
    <w:lvl w:ilvl="1">
      <w:start w:val="1"/>
      <w:numFmt w:val="decimal"/>
      <w:lvlText w:val="%1.%2)"/>
      <w:lvlJc w:val="left"/>
      <w:pPr>
        <w:ind w:left="218" w:hanging="466"/>
        <w:jc w:val="left"/>
      </w:pPr>
      <w:rPr>
        <w:rFonts w:hint="default" w:ascii="Times New Roman" w:hAnsi="Times New Roman" w:eastAsia="Times New Roman" w:cs="Times New Roman"/>
        <w:b/>
        <w:bCs/>
        <w:w w:val="99"/>
        <w:sz w:val="24"/>
        <w:szCs w:val="24"/>
        <w:lang w:val="es-ES" w:eastAsia="es-ES" w:bidi="es-ES"/>
      </w:rPr>
    </w:lvl>
    <w:lvl w:ilvl="2">
      <w:start w:val="0"/>
      <w:numFmt w:val="bullet"/>
      <w:lvlText w:val="•"/>
      <w:lvlJc w:val="left"/>
      <w:pPr>
        <w:ind w:left="2057" w:hanging="466"/>
      </w:pPr>
      <w:rPr>
        <w:rFonts w:hint="default"/>
        <w:lang w:val="es-ES" w:eastAsia="es-ES" w:bidi="es-ES"/>
      </w:rPr>
    </w:lvl>
    <w:lvl w:ilvl="3">
      <w:start w:val="0"/>
      <w:numFmt w:val="bullet"/>
      <w:lvlText w:val="•"/>
      <w:lvlJc w:val="left"/>
      <w:pPr>
        <w:ind w:left="2975" w:hanging="466"/>
      </w:pPr>
      <w:rPr>
        <w:rFonts w:hint="default"/>
        <w:lang w:val="es-ES" w:eastAsia="es-ES" w:bidi="es-ES"/>
      </w:rPr>
    </w:lvl>
    <w:lvl w:ilvl="4">
      <w:start w:val="0"/>
      <w:numFmt w:val="bullet"/>
      <w:lvlText w:val="•"/>
      <w:lvlJc w:val="left"/>
      <w:pPr>
        <w:ind w:left="3894" w:hanging="466"/>
      </w:pPr>
      <w:rPr>
        <w:rFonts w:hint="default"/>
        <w:lang w:val="es-ES" w:eastAsia="es-ES" w:bidi="es-ES"/>
      </w:rPr>
    </w:lvl>
    <w:lvl w:ilvl="5">
      <w:start w:val="0"/>
      <w:numFmt w:val="bullet"/>
      <w:lvlText w:val="•"/>
      <w:lvlJc w:val="left"/>
      <w:pPr>
        <w:ind w:left="4813" w:hanging="466"/>
      </w:pPr>
      <w:rPr>
        <w:rFonts w:hint="default"/>
        <w:lang w:val="es-ES" w:eastAsia="es-ES" w:bidi="es-ES"/>
      </w:rPr>
    </w:lvl>
    <w:lvl w:ilvl="6">
      <w:start w:val="0"/>
      <w:numFmt w:val="bullet"/>
      <w:lvlText w:val="•"/>
      <w:lvlJc w:val="left"/>
      <w:pPr>
        <w:ind w:left="5731" w:hanging="466"/>
      </w:pPr>
      <w:rPr>
        <w:rFonts w:hint="default"/>
        <w:lang w:val="es-ES" w:eastAsia="es-ES" w:bidi="es-ES"/>
      </w:rPr>
    </w:lvl>
    <w:lvl w:ilvl="7">
      <w:start w:val="0"/>
      <w:numFmt w:val="bullet"/>
      <w:lvlText w:val="•"/>
      <w:lvlJc w:val="left"/>
      <w:pPr>
        <w:ind w:left="6650" w:hanging="466"/>
      </w:pPr>
      <w:rPr>
        <w:rFonts w:hint="default"/>
        <w:lang w:val="es-ES" w:eastAsia="es-ES" w:bidi="es-ES"/>
      </w:rPr>
    </w:lvl>
    <w:lvl w:ilvl="8">
      <w:start w:val="0"/>
      <w:numFmt w:val="bullet"/>
      <w:lvlText w:val="•"/>
      <w:lvlJc w:val="left"/>
      <w:pPr>
        <w:ind w:left="7569" w:hanging="466"/>
      </w:pPr>
      <w:rPr>
        <w:rFonts w:hint="default"/>
        <w:lang w:val="es-ES" w:eastAsia="es-ES" w:bidi="es-ES"/>
      </w:rPr>
    </w:lvl>
  </w:abstractNum>
  <w:abstractNum w:abstractNumId="3">
    <w:multiLevelType w:val="hybridMultilevel"/>
    <w:lvl w:ilvl="0">
      <w:start w:val="1"/>
      <w:numFmt w:val="lowerLetter"/>
      <w:lvlText w:val="%1)"/>
      <w:lvlJc w:val="left"/>
      <w:pPr>
        <w:ind w:left="218"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138" w:hanging="246"/>
      </w:pPr>
      <w:rPr>
        <w:rFonts w:hint="default"/>
        <w:lang w:val="es-ES" w:eastAsia="es-ES" w:bidi="es-ES"/>
      </w:rPr>
    </w:lvl>
    <w:lvl w:ilvl="2">
      <w:start w:val="0"/>
      <w:numFmt w:val="bullet"/>
      <w:lvlText w:val="•"/>
      <w:lvlJc w:val="left"/>
      <w:pPr>
        <w:ind w:left="2057" w:hanging="246"/>
      </w:pPr>
      <w:rPr>
        <w:rFonts w:hint="default"/>
        <w:lang w:val="es-ES" w:eastAsia="es-ES" w:bidi="es-ES"/>
      </w:rPr>
    </w:lvl>
    <w:lvl w:ilvl="3">
      <w:start w:val="0"/>
      <w:numFmt w:val="bullet"/>
      <w:lvlText w:val="•"/>
      <w:lvlJc w:val="left"/>
      <w:pPr>
        <w:ind w:left="2975" w:hanging="246"/>
      </w:pPr>
      <w:rPr>
        <w:rFonts w:hint="default"/>
        <w:lang w:val="es-ES" w:eastAsia="es-ES" w:bidi="es-ES"/>
      </w:rPr>
    </w:lvl>
    <w:lvl w:ilvl="4">
      <w:start w:val="0"/>
      <w:numFmt w:val="bullet"/>
      <w:lvlText w:val="•"/>
      <w:lvlJc w:val="left"/>
      <w:pPr>
        <w:ind w:left="3894" w:hanging="246"/>
      </w:pPr>
      <w:rPr>
        <w:rFonts w:hint="default"/>
        <w:lang w:val="es-ES" w:eastAsia="es-ES" w:bidi="es-ES"/>
      </w:rPr>
    </w:lvl>
    <w:lvl w:ilvl="5">
      <w:start w:val="0"/>
      <w:numFmt w:val="bullet"/>
      <w:lvlText w:val="•"/>
      <w:lvlJc w:val="left"/>
      <w:pPr>
        <w:ind w:left="4813" w:hanging="246"/>
      </w:pPr>
      <w:rPr>
        <w:rFonts w:hint="default"/>
        <w:lang w:val="es-ES" w:eastAsia="es-ES" w:bidi="es-ES"/>
      </w:rPr>
    </w:lvl>
    <w:lvl w:ilvl="6">
      <w:start w:val="0"/>
      <w:numFmt w:val="bullet"/>
      <w:lvlText w:val="•"/>
      <w:lvlJc w:val="left"/>
      <w:pPr>
        <w:ind w:left="5731" w:hanging="246"/>
      </w:pPr>
      <w:rPr>
        <w:rFonts w:hint="default"/>
        <w:lang w:val="es-ES" w:eastAsia="es-ES" w:bidi="es-ES"/>
      </w:rPr>
    </w:lvl>
    <w:lvl w:ilvl="7">
      <w:start w:val="0"/>
      <w:numFmt w:val="bullet"/>
      <w:lvlText w:val="•"/>
      <w:lvlJc w:val="left"/>
      <w:pPr>
        <w:ind w:left="6650" w:hanging="246"/>
      </w:pPr>
      <w:rPr>
        <w:rFonts w:hint="default"/>
        <w:lang w:val="es-ES" w:eastAsia="es-ES" w:bidi="es-ES"/>
      </w:rPr>
    </w:lvl>
    <w:lvl w:ilvl="8">
      <w:start w:val="0"/>
      <w:numFmt w:val="bullet"/>
      <w:lvlText w:val="•"/>
      <w:lvlJc w:val="left"/>
      <w:pPr>
        <w:ind w:left="7569" w:hanging="246"/>
      </w:pPr>
      <w:rPr>
        <w:rFonts w:hint="default"/>
        <w:lang w:val="es-ES" w:eastAsia="es-ES" w:bidi="es-ES"/>
      </w:rPr>
    </w:lvl>
  </w:abstractNum>
  <w:abstractNum w:abstractNumId="2">
    <w:multiLevelType w:val="hybridMultilevel"/>
    <w:lvl w:ilvl="0">
      <w:start w:val="1"/>
      <w:numFmt w:val="lowerLetter"/>
      <w:lvlText w:val="%1)"/>
      <w:lvlJc w:val="left"/>
      <w:pPr>
        <w:ind w:left="218" w:hanging="257"/>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138" w:hanging="257"/>
      </w:pPr>
      <w:rPr>
        <w:rFonts w:hint="default"/>
        <w:lang w:val="es-ES" w:eastAsia="es-ES" w:bidi="es-ES"/>
      </w:rPr>
    </w:lvl>
    <w:lvl w:ilvl="2">
      <w:start w:val="0"/>
      <w:numFmt w:val="bullet"/>
      <w:lvlText w:val="•"/>
      <w:lvlJc w:val="left"/>
      <w:pPr>
        <w:ind w:left="2057" w:hanging="257"/>
      </w:pPr>
      <w:rPr>
        <w:rFonts w:hint="default"/>
        <w:lang w:val="es-ES" w:eastAsia="es-ES" w:bidi="es-ES"/>
      </w:rPr>
    </w:lvl>
    <w:lvl w:ilvl="3">
      <w:start w:val="0"/>
      <w:numFmt w:val="bullet"/>
      <w:lvlText w:val="•"/>
      <w:lvlJc w:val="left"/>
      <w:pPr>
        <w:ind w:left="2975" w:hanging="257"/>
      </w:pPr>
      <w:rPr>
        <w:rFonts w:hint="default"/>
        <w:lang w:val="es-ES" w:eastAsia="es-ES" w:bidi="es-ES"/>
      </w:rPr>
    </w:lvl>
    <w:lvl w:ilvl="4">
      <w:start w:val="0"/>
      <w:numFmt w:val="bullet"/>
      <w:lvlText w:val="•"/>
      <w:lvlJc w:val="left"/>
      <w:pPr>
        <w:ind w:left="3894" w:hanging="257"/>
      </w:pPr>
      <w:rPr>
        <w:rFonts w:hint="default"/>
        <w:lang w:val="es-ES" w:eastAsia="es-ES" w:bidi="es-ES"/>
      </w:rPr>
    </w:lvl>
    <w:lvl w:ilvl="5">
      <w:start w:val="0"/>
      <w:numFmt w:val="bullet"/>
      <w:lvlText w:val="•"/>
      <w:lvlJc w:val="left"/>
      <w:pPr>
        <w:ind w:left="4813" w:hanging="257"/>
      </w:pPr>
      <w:rPr>
        <w:rFonts w:hint="default"/>
        <w:lang w:val="es-ES" w:eastAsia="es-ES" w:bidi="es-ES"/>
      </w:rPr>
    </w:lvl>
    <w:lvl w:ilvl="6">
      <w:start w:val="0"/>
      <w:numFmt w:val="bullet"/>
      <w:lvlText w:val="•"/>
      <w:lvlJc w:val="left"/>
      <w:pPr>
        <w:ind w:left="5731" w:hanging="257"/>
      </w:pPr>
      <w:rPr>
        <w:rFonts w:hint="default"/>
        <w:lang w:val="es-ES" w:eastAsia="es-ES" w:bidi="es-ES"/>
      </w:rPr>
    </w:lvl>
    <w:lvl w:ilvl="7">
      <w:start w:val="0"/>
      <w:numFmt w:val="bullet"/>
      <w:lvlText w:val="•"/>
      <w:lvlJc w:val="left"/>
      <w:pPr>
        <w:ind w:left="6650" w:hanging="257"/>
      </w:pPr>
      <w:rPr>
        <w:rFonts w:hint="default"/>
        <w:lang w:val="es-ES" w:eastAsia="es-ES" w:bidi="es-ES"/>
      </w:rPr>
    </w:lvl>
    <w:lvl w:ilvl="8">
      <w:start w:val="0"/>
      <w:numFmt w:val="bullet"/>
      <w:lvlText w:val="•"/>
      <w:lvlJc w:val="left"/>
      <w:pPr>
        <w:ind w:left="7569" w:hanging="257"/>
      </w:pPr>
      <w:rPr>
        <w:rFonts w:hint="default"/>
        <w:lang w:val="es-ES" w:eastAsia="es-ES" w:bidi="es-ES"/>
      </w:rPr>
    </w:lvl>
  </w:abstractNum>
  <w:abstractNum w:abstractNumId="1">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354" w:hanging="246"/>
      </w:pPr>
      <w:rPr>
        <w:rFonts w:hint="default"/>
        <w:lang w:val="es-ES" w:eastAsia="es-ES" w:bidi="es-ES"/>
      </w:rPr>
    </w:lvl>
    <w:lvl w:ilvl="2">
      <w:start w:val="0"/>
      <w:numFmt w:val="bullet"/>
      <w:lvlText w:val="•"/>
      <w:lvlJc w:val="left"/>
      <w:pPr>
        <w:ind w:left="2249" w:hanging="246"/>
      </w:pPr>
      <w:rPr>
        <w:rFonts w:hint="default"/>
        <w:lang w:val="es-ES" w:eastAsia="es-ES" w:bidi="es-ES"/>
      </w:rPr>
    </w:lvl>
    <w:lvl w:ilvl="3">
      <w:start w:val="0"/>
      <w:numFmt w:val="bullet"/>
      <w:lvlText w:val="•"/>
      <w:lvlJc w:val="left"/>
      <w:pPr>
        <w:ind w:left="3143" w:hanging="246"/>
      </w:pPr>
      <w:rPr>
        <w:rFonts w:hint="default"/>
        <w:lang w:val="es-ES" w:eastAsia="es-ES" w:bidi="es-ES"/>
      </w:rPr>
    </w:lvl>
    <w:lvl w:ilvl="4">
      <w:start w:val="0"/>
      <w:numFmt w:val="bullet"/>
      <w:lvlText w:val="•"/>
      <w:lvlJc w:val="left"/>
      <w:pPr>
        <w:ind w:left="4038" w:hanging="246"/>
      </w:pPr>
      <w:rPr>
        <w:rFonts w:hint="default"/>
        <w:lang w:val="es-ES" w:eastAsia="es-ES" w:bidi="es-ES"/>
      </w:rPr>
    </w:lvl>
    <w:lvl w:ilvl="5">
      <w:start w:val="0"/>
      <w:numFmt w:val="bullet"/>
      <w:lvlText w:val="•"/>
      <w:lvlJc w:val="left"/>
      <w:pPr>
        <w:ind w:left="4933" w:hanging="246"/>
      </w:pPr>
      <w:rPr>
        <w:rFonts w:hint="default"/>
        <w:lang w:val="es-ES" w:eastAsia="es-ES" w:bidi="es-ES"/>
      </w:rPr>
    </w:lvl>
    <w:lvl w:ilvl="6">
      <w:start w:val="0"/>
      <w:numFmt w:val="bullet"/>
      <w:lvlText w:val="•"/>
      <w:lvlJc w:val="left"/>
      <w:pPr>
        <w:ind w:left="5827" w:hanging="246"/>
      </w:pPr>
      <w:rPr>
        <w:rFonts w:hint="default"/>
        <w:lang w:val="es-ES" w:eastAsia="es-ES" w:bidi="es-ES"/>
      </w:rPr>
    </w:lvl>
    <w:lvl w:ilvl="7">
      <w:start w:val="0"/>
      <w:numFmt w:val="bullet"/>
      <w:lvlText w:val="•"/>
      <w:lvlJc w:val="left"/>
      <w:pPr>
        <w:ind w:left="6722" w:hanging="246"/>
      </w:pPr>
      <w:rPr>
        <w:rFonts w:hint="default"/>
        <w:lang w:val="es-ES" w:eastAsia="es-ES" w:bidi="es-ES"/>
      </w:rPr>
    </w:lvl>
    <w:lvl w:ilvl="8">
      <w:start w:val="0"/>
      <w:numFmt w:val="bullet"/>
      <w:lvlText w:val="•"/>
      <w:lvlJc w:val="left"/>
      <w:pPr>
        <w:ind w:left="7617" w:hanging="246"/>
      </w:pPr>
      <w:rPr>
        <w:rFonts w:hint="default"/>
        <w:lang w:val="es-ES" w:eastAsia="es-ES" w:bidi="es-ES"/>
      </w:rPr>
    </w:lvl>
  </w:abstractNum>
  <w:abstractNum w:abstractNumId="0">
    <w:multiLevelType w:val="hybridMultilevel"/>
    <w:lvl w:ilvl="0">
      <w:start w:val="1"/>
      <w:numFmt w:val="lowerLetter"/>
      <w:lvlText w:val="%1)"/>
      <w:lvlJc w:val="left"/>
      <w:pPr>
        <w:ind w:left="218" w:hanging="250"/>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138" w:hanging="250"/>
      </w:pPr>
      <w:rPr>
        <w:rFonts w:hint="default"/>
        <w:lang w:val="es-ES" w:eastAsia="es-ES" w:bidi="es-ES"/>
      </w:rPr>
    </w:lvl>
    <w:lvl w:ilvl="2">
      <w:start w:val="0"/>
      <w:numFmt w:val="bullet"/>
      <w:lvlText w:val="•"/>
      <w:lvlJc w:val="left"/>
      <w:pPr>
        <w:ind w:left="2057" w:hanging="250"/>
      </w:pPr>
      <w:rPr>
        <w:rFonts w:hint="default"/>
        <w:lang w:val="es-ES" w:eastAsia="es-ES" w:bidi="es-ES"/>
      </w:rPr>
    </w:lvl>
    <w:lvl w:ilvl="3">
      <w:start w:val="0"/>
      <w:numFmt w:val="bullet"/>
      <w:lvlText w:val="•"/>
      <w:lvlJc w:val="left"/>
      <w:pPr>
        <w:ind w:left="2975" w:hanging="250"/>
      </w:pPr>
      <w:rPr>
        <w:rFonts w:hint="default"/>
        <w:lang w:val="es-ES" w:eastAsia="es-ES" w:bidi="es-ES"/>
      </w:rPr>
    </w:lvl>
    <w:lvl w:ilvl="4">
      <w:start w:val="0"/>
      <w:numFmt w:val="bullet"/>
      <w:lvlText w:val="•"/>
      <w:lvlJc w:val="left"/>
      <w:pPr>
        <w:ind w:left="3894" w:hanging="250"/>
      </w:pPr>
      <w:rPr>
        <w:rFonts w:hint="default"/>
        <w:lang w:val="es-ES" w:eastAsia="es-ES" w:bidi="es-ES"/>
      </w:rPr>
    </w:lvl>
    <w:lvl w:ilvl="5">
      <w:start w:val="0"/>
      <w:numFmt w:val="bullet"/>
      <w:lvlText w:val="•"/>
      <w:lvlJc w:val="left"/>
      <w:pPr>
        <w:ind w:left="4813" w:hanging="250"/>
      </w:pPr>
      <w:rPr>
        <w:rFonts w:hint="default"/>
        <w:lang w:val="es-ES" w:eastAsia="es-ES" w:bidi="es-ES"/>
      </w:rPr>
    </w:lvl>
    <w:lvl w:ilvl="6">
      <w:start w:val="0"/>
      <w:numFmt w:val="bullet"/>
      <w:lvlText w:val="•"/>
      <w:lvlJc w:val="left"/>
      <w:pPr>
        <w:ind w:left="5731" w:hanging="250"/>
      </w:pPr>
      <w:rPr>
        <w:rFonts w:hint="default"/>
        <w:lang w:val="es-ES" w:eastAsia="es-ES" w:bidi="es-ES"/>
      </w:rPr>
    </w:lvl>
    <w:lvl w:ilvl="7">
      <w:start w:val="0"/>
      <w:numFmt w:val="bullet"/>
      <w:lvlText w:val="•"/>
      <w:lvlJc w:val="left"/>
      <w:pPr>
        <w:ind w:left="6650" w:hanging="250"/>
      </w:pPr>
      <w:rPr>
        <w:rFonts w:hint="default"/>
        <w:lang w:val="es-ES" w:eastAsia="es-ES" w:bidi="es-ES"/>
      </w:rPr>
    </w:lvl>
    <w:lvl w:ilvl="8">
      <w:start w:val="0"/>
      <w:numFmt w:val="bullet"/>
      <w:lvlText w:val="•"/>
      <w:lvlJc w:val="left"/>
      <w:pPr>
        <w:ind w:left="7569" w:hanging="250"/>
      </w:pPr>
      <w:rPr>
        <w:rFonts w:hint="default"/>
        <w:lang w:val="es-ES" w:eastAsia="es-ES" w:bidi="es-E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218"/>
      <w:outlineLvl w:val="1"/>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ind w:left="218"/>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Hernández González</dc:creator>
  <dc:title>INFORME DE TESORERIA</dc:title>
  <dcterms:created xsi:type="dcterms:W3CDTF">2025-06-26T11:34:51Z</dcterms:created>
  <dcterms:modified xsi:type="dcterms:W3CDTF">2025-06-26T11:34:51Z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2024-05-08T00:00:00Z</vt:filetime>
  </property>
  <property fmtid="{D5CDD505-2E9C-101B-9397-08002B2CF9AE}" pid="3" name="Creator">
    <vt:lpwstr>Microsoft® Word para Microsoft 365</vt:lpwstr>
  </property>
  <property fmtid="{D5CDD505-2E9C-101B-9397-08002B2CF9AE}" pid="4" name="LastSaved">
    <vt:filetime>2025-06-26T00:00:00Z</vt:filetime>
  </property>
</Properties>
</file>