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0"/>
        </w:rPr>
      </w:pPr>
    </w:p>
    <w:p>
      <w:pPr>
        <w:tabs>
          <w:tab w:pos="4520" w:val="left" w:leader="none"/>
        </w:tabs>
        <w:spacing w:before="100"/>
        <w:ind w:left="200" w:right="0" w:firstLine="0"/>
        <w:jc w:val="left"/>
        <w:rPr>
          <w:rFonts w:ascii="Courier New" w:hAnsi="Courier New"/>
          <w:sz w:val="24"/>
        </w:rPr>
      </w:pPr>
      <w:r>
        <w:rPr>
          <w:rFonts w:ascii="Courier New" w:hAnsi="Courier New"/>
          <w:sz w:val="24"/>
        </w:rPr>
        <w:t>Decreto número: ALC/2025/116</w:t>
        <w:tab/>
        <w:t>de fecha 18/02/2025</w: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5"/>
        <w:rPr>
          <w:rFonts w:ascii="Courier New"/>
          <w:sz w:val="23"/>
        </w:rPr>
      </w:pPr>
    </w:p>
    <w:p>
      <w:pPr>
        <w:spacing w:before="91"/>
        <w:ind w:left="4499" w:right="4263" w:firstLine="0"/>
        <w:jc w:val="center"/>
        <w:rPr>
          <w:b/>
          <w:sz w:val="22"/>
        </w:rPr>
      </w:pPr>
      <w:r>
        <w:rPr>
          <w:b/>
          <w:sz w:val="22"/>
        </w:rPr>
        <w:t>DECRETO</w:t>
      </w:r>
    </w:p>
    <w:p>
      <w:pPr>
        <w:pStyle w:val="BodyText"/>
        <w:rPr>
          <w:b/>
          <w:sz w:val="24"/>
        </w:rPr>
      </w:pPr>
    </w:p>
    <w:p>
      <w:pPr>
        <w:pStyle w:val="BodyText"/>
        <w:spacing w:before="4"/>
        <w:rPr>
          <w:b/>
          <w:sz w:val="22"/>
        </w:rPr>
      </w:pPr>
    </w:p>
    <w:p>
      <w:pPr>
        <w:pStyle w:val="BodyText"/>
        <w:ind w:left="137" w:right="108" w:firstLine="567"/>
        <w:jc w:val="both"/>
      </w:pPr>
      <w:r>
        <w:rPr/>
        <w:t>Examinada la Liquidación del Presupuesto correspondiente al ejercicio </w:t>
      </w:r>
      <w:r>
        <w:rPr>
          <w:b/>
        </w:rPr>
        <w:t>2024</w:t>
      </w:r>
      <w:r>
        <w:rPr/>
        <w:t>, informada por la Intervención de Fondos y resultando que la misma se ajusta a la estructura de la Resolución de la Dirección General de la Admón. Local de 15 de enero de 1980, adjuntándose los documentos previstos en la Instrucción de Contabilidad para la admón. Local de 20 de Septiembre de 2013 y teniendo en cuenta, que la liquidación se ha efectuado con sujeción a las normas sobre Cierre y Liquidación del Presupuesto, fundamentalmente las contenidas en el artículo 191 y siguientes del Texto refundido la Ley Reguladora de las Haciendas Locales aprobado mediante el Real Decreto Legislativo 2/2004, de 5 de marzo y concordantes del Real Decreto 500/1990, de 20 de abril, y a la vista del informe del Interventor de esta Corporación, HE RESUELTO:</w:t>
      </w:r>
    </w:p>
    <w:p>
      <w:pPr>
        <w:pStyle w:val="BodyText"/>
        <w:spacing w:before="4"/>
        <w:rPr>
          <w:sz w:val="24"/>
        </w:rPr>
      </w:pPr>
    </w:p>
    <w:p>
      <w:pPr>
        <w:pStyle w:val="BodyText"/>
        <w:ind w:left="137"/>
      </w:pPr>
      <w:r>
        <w:rPr>
          <w:b/>
        </w:rPr>
        <w:t>PRIMERO.- </w:t>
      </w:r>
      <w:r>
        <w:rPr/>
        <w:t>Aprobar la liquidación del Presupuesto del Ayuntamiento de Tías para el ejercicio </w:t>
      </w:r>
      <w:r>
        <w:rPr>
          <w:b/>
        </w:rPr>
        <w:t>2024</w:t>
      </w:r>
      <w:r>
        <w:rPr/>
        <w:t>, que ofrece el siguiente resumen por capítulos de ingresos y gastos:</w:t>
      </w:r>
    </w:p>
    <w:p>
      <w:pPr>
        <w:pStyle w:val="BodyText"/>
        <w:spacing w:before="4"/>
        <w:rPr>
          <w:sz w:val="28"/>
        </w:rPr>
      </w:pPr>
      <w:r>
        <w:rPr/>
        <w:drawing>
          <wp:anchor distT="0" distB="0" distL="0" distR="0" allowOverlap="1" layoutInCell="1" locked="0" behindDoc="0" simplePos="0" relativeHeight="0">
            <wp:simplePos x="0" y="0"/>
            <wp:positionH relativeFrom="page">
              <wp:posOffset>946546</wp:posOffset>
            </wp:positionH>
            <wp:positionV relativeFrom="paragraph">
              <wp:posOffset>232056</wp:posOffset>
            </wp:positionV>
            <wp:extent cx="5755404" cy="4860607"/>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755404" cy="4860607"/>
                    </a:xfrm>
                    <a:prstGeom prst="rect">
                      <a:avLst/>
                    </a:prstGeom>
                  </pic:spPr>
                </pic:pic>
              </a:graphicData>
            </a:graphic>
          </wp:anchor>
        </w:drawing>
      </w:r>
    </w:p>
    <w:p>
      <w:pPr>
        <w:spacing w:after="0"/>
        <w:rPr>
          <w:sz w:val="28"/>
        </w:rPr>
        <w:sectPr>
          <w:headerReference w:type="default" r:id="rId5"/>
          <w:footerReference w:type="default" r:id="rId6"/>
          <w:type w:val="continuous"/>
          <w:pgSz w:w="11910" w:h="16840"/>
          <w:pgMar w:header="326" w:footer="1048" w:top="1660" w:bottom="1240" w:left="1280" w:right="740"/>
          <w:pgNumType w:start="1"/>
        </w:sectPr>
      </w:pPr>
    </w:p>
    <w:p>
      <w:pPr>
        <w:pStyle w:val="BodyText"/>
      </w:pPr>
    </w:p>
    <w:p>
      <w:pPr>
        <w:pStyle w:val="BodyText"/>
      </w:pPr>
    </w:p>
    <w:p>
      <w:pPr>
        <w:pStyle w:val="BodyText"/>
        <w:spacing w:before="3"/>
        <w:rPr>
          <w:sz w:val="24"/>
        </w:rPr>
      </w:pPr>
    </w:p>
    <w:p>
      <w:pPr>
        <w:pStyle w:val="BodyText"/>
        <w:ind w:left="211"/>
      </w:pPr>
      <w:r>
        <w:rPr/>
        <w:drawing>
          <wp:inline distT="0" distB="0" distL="0" distR="0">
            <wp:extent cx="5856014" cy="6974681"/>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856014" cy="6974681"/>
                    </a:xfrm>
                    <a:prstGeom prst="rect">
                      <a:avLst/>
                    </a:prstGeom>
                  </pic:spPr>
                </pic:pic>
              </a:graphicData>
            </a:graphic>
          </wp:inline>
        </w:drawing>
      </w:r>
      <w:r>
        <w:rPr/>
      </w:r>
    </w:p>
    <w:p>
      <w:pPr>
        <w:pStyle w:val="BodyText"/>
        <w:rPr>
          <w:sz w:val="17"/>
        </w:rPr>
      </w:pPr>
    </w:p>
    <w:p>
      <w:pPr>
        <w:pStyle w:val="BodyText"/>
        <w:spacing w:before="92"/>
        <w:ind w:left="138"/>
      </w:pPr>
      <w:r>
        <w:rPr>
          <w:b/>
        </w:rPr>
        <w:t>SEGUNDO.- </w:t>
      </w:r>
      <w:r>
        <w:rPr/>
        <w:t>El Resultado Presupuestario Ajustado del ejercicio, de conformidad con lo que se establece en la regla 56 de la Instrucción de Contabilidad para la Admón. Local de 20 de Septiembre de 2013, arroja las siguientes magnitudes:</w:t>
      </w:r>
    </w:p>
    <w:p>
      <w:pPr>
        <w:spacing w:after="0"/>
        <w:sectPr>
          <w:pgSz w:w="11910" w:h="16840"/>
          <w:pgMar w:header="326" w:footer="1048" w:top="1660" w:bottom="1240" w:left="1280" w:right="740"/>
        </w:sectPr>
      </w:pPr>
    </w:p>
    <w:p>
      <w:pPr>
        <w:pStyle w:val="BodyText"/>
        <w:spacing w:before="9"/>
        <w:rPr>
          <w:sz w:val="22"/>
        </w:rPr>
      </w:pPr>
    </w:p>
    <w:p>
      <w:pPr>
        <w:pStyle w:val="BodyText"/>
        <w:ind w:left="182"/>
      </w:pPr>
      <w:r>
        <w:rPr/>
        <w:drawing>
          <wp:inline distT="0" distB="0" distL="0" distR="0">
            <wp:extent cx="5855881" cy="4456557"/>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5855881" cy="4456557"/>
                    </a:xfrm>
                    <a:prstGeom prst="rect">
                      <a:avLst/>
                    </a:prstGeom>
                  </pic:spPr>
                </pic:pic>
              </a:graphicData>
            </a:graphic>
          </wp:inline>
        </w:drawing>
      </w:r>
      <w:r>
        <w:rPr/>
      </w:r>
    </w:p>
    <w:p>
      <w:pPr>
        <w:pStyle w:val="BodyText"/>
        <w:spacing w:before="2"/>
        <w:rPr>
          <w:sz w:val="28"/>
        </w:rPr>
      </w:pPr>
    </w:p>
    <w:p>
      <w:pPr>
        <w:pStyle w:val="BodyText"/>
        <w:spacing w:before="91"/>
        <w:ind w:left="138"/>
      </w:pPr>
      <w:r>
        <w:rPr>
          <w:b/>
        </w:rPr>
        <w:t>TERCERO.- </w:t>
      </w:r>
      <w:r>
        <w:rPr/>
        <w:t>El Remanente de Tesorería correspondiente al ejercicio, según las especificaciones de la Regla 56 de la Instrucción de Contabilidad para la Admón. Local de 20 de Septiembre de 2013 presenta el siguiente detalle: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6"/>
        </w:rPr>
      </w:pPr>
    </w:p>
    <w:tbl>
      <w:tblPr>
        <w:tblW w:w="0" w:type="auto"/>
        <w:jc w:val="left"/>
        <w:tblInd w:w="11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CellMar>
          <w:top w:w="0" w:type="dxa"/>
          <w:left w:w="0" w:type="dxa"/>
          <w:bottom w:w="0" w:type="dxa"/>
          <w:right w:w="0" w:type="dxa"/>
        </w:tblCellMar>
        <w:tblLook w:val="01E0"/>
      </w:tblPr>
      <w:tblGrid>
        <w:gridCol w:w="5158"/>
        <w:gridCol w:w="837"/>
        <w:gridCol w:w="3641"/>
      </w:tblGrid>
      <w:tr>
        <w:trPr>
          <w:trHeight w:val="305" w:hRule="atLeast"/>
        </w:trPr>
        <w:tc>
          <w:tcPr>
            <w:tcW w:w="5158" w:type="dxa"/>
            <w:shd w:val="clear" w:color="auto" w:fill="C0C0C0"/>
          </w:tcPr>
          <w:p>
            <w:pPr>
              <w:pStyle w:val="TableParagraph"/>
              <w:ind w:left="0"/>
              <w:rPr>
                <w:rFonts w:ascii="Times New Roman"/>
                <w:sz w:val="18"/>
              </w:rPr>
            </w:pPr>
          </w:p>
        </w:tc>
        <w:tc>
          <w:tcPr>
            <w:tcW w:w="837" w:type="dxa"/>
            <w:shd w:val="clear" w:color="auto" w:fill="C0C0C0"/>
          </w:tcPr>
          <w:p>
            <w:pPr>
              <w:pStyle w:val="TableParagraph"/>
              <w:ind w:left="74"/>
              <w:rPr>
                <w:b/>
                <w:sz w:val="20"/>
              </w:rPr>
            </w:pPr>
            <w:r>
              <w:rPr>
                <w:b/>
                <w:sz w:val="20"/>
              </w:rPr>
              <w:t>Código</w:t>
            </w:r>
          </w:p>
        </w:tc>
        <w:tc>
          <w:tcPr>
            <w:tcW w:w="3641" w:type="dxa"/>
            <w:shd w:val="clear" w:color="auto" w:fill="C0C0C0"/>
          </w:tcPr>
          <w:p>
            <w:pPr>
              <w:pStyle w:val="TableParagraph"/>
              <w:ind w:left="171" w:right="157"/>
              <w:jc w:val="center"/>
              <w:rPr>
                <w:b/>
                <w:sz w:val="20"/>
              </w:rPr>
            </w:pPr>
            <w:r>
              <w:rPr>
                <w:b/>
                <w:sz w:val="20"/>
              </w:rPr>
              <w:t>Situación a final trimestre vencido</w:t>
            </w:r>
          </w:p>
        </w:tc>
      </w:tr>
      <w:tr>
        <w:trPr>
          <w:trHeight w:val="305" w:hRule="atLeast"/>
        </w:trPr>
        <w:tc>
          <w:tcPr>
            <w:tcW w:w="5158" w:type="dxa"/>
          </w:tcPr>
          <w:p>
            <w:pPr>
              <w:pStyle w:val="TableParagraph"/>
              <w:rPr>
                <w:sz w:val="20"/>
              </w:rPr>
            </w:pPr>
            <w:r>
              <w:rPr>
                <w:sz w:val="20"/>
              </w:rPr>
              <w:t>1.- Fondos líquidos</w:t>
            </w:r>
          </w:p>
        </w:tc>
        <w:tc>
          <w:tcPr>
            <w:tcW w:w="837" w:type="dxa"/>
          </w:tcPr>
          <w:p>
            <w:pPr>
              <w:pStyle w:val="TableParagraph"/>
              <w:ind w:left="69"/>
              <w:rPr>
                <w:sz w:val="20"/>
              </w:rPr>
            </w:pPr>
            <w:r>
              <w:rPr>
                <w:sz w:val="20"/>
              </w:rPr>
              <w:t>R29t</w:t>
            </w:r>
          </w:p>
        </w:tc>
        <w:tc>
          <w:tcPr>
            <w:tcW w:w="3641" w:type="dxa"/>
          </w:tcPr>
          <w:p>
            <w:pPr>
              <w:pStyle w:val="TableParagraph"/>
              <w:ind w:left="171" w:right="157"/>
              <w:jc w:val="center"/>
              <w:rPr>
                <w:sz w:val="20"/>
              </w:rPr>
            </w:pPr>
            <w:r>
              <w:rPr>
                <w:sz w:val="20"/>
              </w:rPr>
              <w:t>35.963.910,15</w:t>
            </w:r>
          </w:p>
        </w:tc>
      </w:tr>
      <w:tr>
        <w:trPr>
          <w:trHeight w:val="305" w:hRule="atLeast"/>
        </w:trPr>
        <w:tc>
          <w:tcPr>
            <w:tcW w:w="5158" w:type="dxa"/>
          </w:tcPr>
          <w:p>
            <w:pPr>
              <w:pStyle w:val="TableParagraph"/>
              <w:rPr>
                <w:sz w:val="20"/>
              </w:rPr>
            </w:pPr>
            <w:r>
              <w:rPr>
                <w:sz w:val="20"/>
              </w:rPr>
              <w:t>Derechos Pendientes de cobro:</w:t>
            </w:r>
          </w:p>
        </w:tc>
        <w:tc>
          <w:tcPr>
            <w:tcW w:w="837" w:type="dxa"/>
          </w:tcPr>
          <w:p>
            <w:pPr>
              <w:pStyle w:val="TableParagraph"/>
              <w:ind w:left="0"/>
              <w:rPr>
                <w:rFonts w:ascii="Times New Roman"/>
                <w:sz w:val="18"/>
              </w:rPr>
            </w:pPr>
          </w:p>
        </w:tc>
        <w:tc>
          <w:tcPr>
            <w:tcW w:w="3641" w:type="dxa"/>
          </w:tcPr>
          <w:p>
            <w:pPr>
              <w:pStyle w:val="TableParagraph"/>
              <w:ind w:left="0"/>
              <w:rPr>
                <w:rFonts w:ascii="Times New Roman"/>
                <w:sz w:val="18"/>
              </w:rPr>
            </w:pPr>
          </w:p>
        </w:tc>
      </w:tr>
      <w:tr>
        <w:trPr>
          <w:trHeight w:val="305" w:hRule="atLeast"/>
        </w:trPr>
        <w:tc>
          <w:tcPr>
            <w:tcW w:w="5158" w:type="dxa"/>
          </w:tcPr>
          <w:p>
            <w:pPr>
              <w:pStyle w:val="TableParagraph"/>
              <w:rPr>
                <w:sz w:val="20"/>
              </w:rPr>
            </w:pPr>
            <w:r>
              <w:rPr>
                <w:sz w:val="20"/>
              </w:rPr>
              <w:t>(+) Del Presupuesto corriente</w:t>
            </w:r>
          </w:p>
        </w:tc>
        <w:tc>
          <w:tcPr>
            <w:tcW w:w="837" w:type="dxa"/>
          </w:tcPr>
          <w:p>
            <w:pPr>
              <w:pStyle w:val="TableParagraph"/>
              <w:ind w:left="69"/>
              <w:rPr>
                <w:sz w:val="20"/>
              </w:rPr>
            </w:pPr>
            <w:r>
              <w:rPr>
                <w:sz w:val="20"/>
              </w:rPr>
              <w:t>R01</w:t>
            </w:r>
          </w:p>
        </w:tc>
        <w:tc>
          <w:tcPr>
            <w:tcW w:w="3641" w:type="dxa"/>
          </w:tcPr>
          <w:p>
            <w:pPr>
              <w:pStyle w:val="TableParagraph"/>
              <w:ind w:left="171" w:right="157"/>
              <w:jc w:val="center"/>
              <w:rPr>
                <w:sz w:val="20"/>
              </w:rPr>
            </w:pPr>
            <w:r>
              <w:rPr>
                <w:sz w:val="20"/>
              </w:rPr>
              <w:t>3.280.114,32</w:t>
            </w:r>
          </w:p>
        </w:tc>
      </w:tr>
      <w:tr>
        <w:trPr>
          <w:trHeight w:val="305" w:hRule="atLeast"/>
        </w:trPr>
        <w:tc>
          <w:tcPr>
            <w:tcW w:w="5158" w:type="dxa"/>
          </w:tcPr>
          <w:p>
            <w:pPr>
              <w:pStyle w:val="TableParagraph"/>
              <w:rPr>
                <w:sz w:val="20"/>
              </w:rPr>
            </w:pPr>
            <w:r>
              <w:rPr>
                <w:sz w:val="20"/>
              </w:rPr>
              <w:t>(+) De Presupuestos cerrados</w:t>
            </w:r>
          </w:p>
        </w:tc>
        <w:tc>
          <w:tcPr>
            <w:tcW w:w="837" w:type="dxa"/>
          </w:tcPr>
          <w:p>
            <w:pPr>
              <w:pStyle w:val="TableParagraph"/>
              <w:ind w:left="69"/>
              <w:rPr>
                <w:sz w:val="20"/>
              </w:rPr>
            </w:pPr>
            <w:r>
              <w:rPr>
                <w:sz w:val="20"/>
              </w:rPr>
              <w:t>R02</w:t>
            </w:r>
          </w:p>
        </w:tc>
        <w:tc>
          <w:tcPr>
            <w:tcW w:w="3641" w:type="dxa"/>
          </w:tcPr>
          <w:p>
            <w:pPr>
              <w:pStyle w:val="TableParagraph"/>
              <w:ind w:left="171" w:right="157"/>
              <w:jc w:val="center"/>
              <w:rPr>
                <w:sz w:val="20"/>
              </w:rPr>
            </w:pPr>
            <w:r>
              <w:rPr>
                <w:sz w:val="20"/>
              </w:rPr>
              <w:t>17.905.056,62</w:t>
            </w:r>
          </w:p>
        </w:tc>
      </w:tr>
      <w:tr>
        <w:trPr>
          <w:trHeight w:val="305" w:hRule="atLeast"/>
        </w:trPr>
        <w:tc>
          <w:tcPr>
            <w:tcW w:w="5158" w:type="dxa"/>
          </w:tcPr>
          <w:p>
            <w:pPr>
              <w:pStyle w:val="TableParagraph"/>
              <w:rPr>
                <w:sz w:val="20"/>
              </w:rPr>
            </w:pPr>
            <w:r>
              <w:rPr>
                <w:sz w:val="20"/>
              </w:rPr>
              <w:t>(+) De Otras operaciones no presupuestarias</w:t>
            </w:r>
          </w:p>
        </w:tc>
        <w:tc>
          <w:tcPr>
            <w:tcW w:w="837" w:type="dxa"/>
          </w:tcPr>
          <w:p>
            <w:pPr>
              <w:pStyle w:val="TableParagraph"/>
              <w:ind w:left="69"/>
              <w:rPr>
                <w:sz w:val="20"/>
              </w:rPr>
            </w:pPr>
            <w:r>
              <w:rPr>
                <w:sz w:val="20"/>
              </w:rPr>
              <w:t>R04</w:t>
            </w:r>
          </w:p>
        </w:tc>
        <w:tc>
          <w:tcPr>
            <w:tcW w:w="3641" w:type="dxa"/>
          </w:tcPr>
          <w:p>
            <w:pPr>
              <w:pStyle w:val="TableParagraph"/>
              <w:ind w:left="171" w:right="157"/>
              <w:jc w:val="center"/>
              <w:rPr>
                <w:sz w:val="20"/>
              </w:rPr>
            </w:pPr>
            <w:r>
              <w:rPr>
                <w:sz w:val="20"/>
              </w:rPr>
              <w:t>324.538,10</w:t>
            </w:r>
          </w:p>
        </w:tc>
      </w:tr>
      <w:tr>
        <w:trPr>
          <w:trHeight w:val="305" w:hRule="atLeast"/>
        </w:trPr>
        <w:tc>
          <w:tcPr>
            <w:tcW w:w="5158" w:type="dxa"/>
          </w:tcPr>
          <w:p>
            <w:pPr>
              <w:pStyle w:val="TableParagraph"/>
              <w:rPr>
                <w:sz w:val="20"/>
              </w:rPr>
            </w:pPr>
            <w:r>
              <w:rPr>
                <w:sz w:val="20"/>
              </w:rPr>
              <w:t>2.- Total Derechos pendientes de cobro</w:t>
            </w:r>
          </w:p>
        </w:tc>
        <w:tc>
          <w:tcPr>
            <w:tcW w:w="837" w:type="dxa"/>
          </w:tcPr>
          <w:p>
            <w:pPr>
              <w:pStyle w:val="TableParagraph"/>
              <w:ind w:left="69"/>
              <w:rPr>
                <w:sz w:val="20"/>
              </w:rPr>
            </w:pPr>
            <w:r>
              <w:rPr>
                <w:sz w:val="20"/>
              </w:rPr>
              <w:t>R09t</w:t>
            </w:r>
          </w:p>
        </w:tc>
        <w:tc>
          <w:tcPr>
            <w:tcW w:w="3641" w:type="dxa"/>
          </w:tcPr>
          <w:p>
            <w:pPr>
              <w:pStyle w:val="TableParagraph"/>
              <w:ind w:left="171" w:right="157"/>
              <w:jc w:val="center"/>
              <w:rPr>
                <w:sz w:val="20"/>
              </w:rPr>
            </w:pPr>
            <w:r>
              <w:rPr>
                <w:sz w:val="20"/>
              </w:rPr>
              <w:t>21.509.709,04</w:t>
            </w:r>
          </w:p>
        </w:tc>
      </w:tr>
    </w:tbl>
    <w:p>
      <w:pPr>
        <w:spacing w:after="0"/>
        <w:jc w:val="center"/>
        <w:rPr>
          <w:sz w:val="20"/>
        </w:rPr>
        <w:sectPr>
          <w:pgSz w:w="11910" w:h="16840"/>
          <w:pgMar w:header="326" w:footer="1048" w:top="1660" w:bottom="1240" w:left="1280" w:right="740"/>
        </w:sectPr>
      </w:pPr>
    </w:p>
    <w:p>
      <w:pPr>
        <w:pStyle w:val="BodyText"/>
        <w:spacing w:before="7"/>
        <w:rPr>
          <w:sz w:val="9"/>
        </w:rPr>
      </w:pPr>
    </w:p>
    <w:tbl>
      <w:tblPr>
        <w:tblW w:w="0" w:type="auto"/>
        <w:jc w:val="left"/>
        <w:tblInd w:w="11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CellMar>
          <w:top w:w="0" w:type="dxa"/>
          <w:left w:w="0" w:type="dxa"/>
          <w:bottom w:w="0" w:type="dxa"/>
          <w:right w:w="0" w:type="dxa"/>
        </w:tblCellMar>
        <w:tblLook w:val="01E0"/>
      </w:tblPr>
      <w:tblGrid>
        <w:gridCol w:w="5158"/>
        <w:gridCol w:w="837"/>
        <w:gridCol w:w="3641"/>
      </w:tblGrid>
      <w:tr>
        <w:trPr>
          <w:trHeight w:val="305" w:hRule="atLeast"/>
        </w:trPr>
        <w:tc>
          <w:tcPr>
            <w:tcW w:w="5158" w:type="dxa"/>
          </w:tcPr>
          <w:p>
            <w:pPr>
              <w:pStyle w:val="TableParagraph"/>
              <w:ind w:left="0"/>
              <w:rPr>
                <w:rFonts w:ascii="Times New Roman"/>
                <w:sz w:val="18"/>
              </w:rPr>
            </w:pPr>
          </w:p>
        </w:tc>
        <w:tc>
          <w:tcPr>
            <w:tcW w:w="837" w:type="dxa"/>
          </w:tcPr>
          <w:p>
            <w:pPr>
              <w:pStyle w:val="TableParagraph"/>
              <w:ind w:left="0"/>
              <w:rPr>
                <w:rFonts w:ascii="Times New Roman"/>
                <w:sz w:val="18"/>
              </w:rPr>
            </w:pPr>
          </w:p>
        </w:tc>
        <w:tc>
          <w:tcPr>
            <w:tcW w:w="3641" w:type="dxa"/>
          </w:tcPr>
          <w:p>
            <w:pPr>
              <w:pStyle w:val="TableParagraph"/>
              <w:ind w:left="0"/>
              <w:rPr>
                <w:rFonts w:ascii="Times New Roman"/>
                <w:sz w:val="18"/>
              </w:rPr>
            </w:pPr>
          </w:p>
        </w:tc>
      </w:tr>
      <w:tr>
        <w:trPr>
          <w:trHeight w:val="305" w:hRule="atLeast"/>
        </w:trPr>
        <w:tc>
          <w:tcPr>
            <w:tcW w:w="5158" w:type="dxa"/>
          </w:tcPr>
          <w:p>
            <w:pPr>
              <w:pStyle w:val="TableParagraph"/>
              <w:rPr>
                <w:sz w:val="20"/>
              </w:rPr>
            </w:pPr>
            <w:r>
              <w:rPr>
                <w:sz w:val="20"/>
              </w:rPr>
              <w:t>Obligaciones pendientes de pago:</w:t>
            </w:r>
          </w:p>
        </w:tc>
        <w:tc>
          <w:tcPr>
            <w:tcW w:w="837" w:type="dxa"/>
          </w:tcPr>
          <w:p>
            <w:pPr>
              <w:pStyle w:val="TableParagraph"/>
              <w:ind w:left="0"/>
              <w:rPr>
                <w:rFonts w:ascii="Times New Roman"/>
                <w:sz w:val="18"/>
              </w:rPr>
            </w:pPr>
          </w:p>
        </w:tc>
        <w:tc>
          <w:tcPr>
            <w:tcW w:w="3641" w:type="dxa"/>
          </w:tcPr>
          <w:p>
            <w:pPr>
              <w:pStyle w:val="TableParagraph"/>
              <w:ind w:left="0"/>
              <w:rPr>
                <w:rFonts w:ascii="Times New Roman"/>
                <w:sz w:val="18"/>
              </w:rPr>
            </w:pPr>
          </w:p>
        </w:tc>
      </w:tr>
      <w:tr>
        <w:trPr>
          <w:trHeight w:val="305" w:hRule="atLeast"/>
        </w:trPr>
        <w:tc>
          <w:tcPr>
            <w:tcW w:w="5158" w:type="dxa"/>
          </w:tcPr>
          <w:p>
            <w:pPr>
              <w:pStyle w:val="TableParagraph"/>
              <w:rPr>
                <w:sz w:val="20"/>
              </w:rPr>
            </w:pPr>
            <w:r>
              <w:rPr>
                <w:sz w:val="20"/>
              </w:rPr>
              <w:t>(+) Del Presupuesto corriente</w:t>
            </w:r>
          </w:p>
        </w:tc>
        <w:tc>
          <w:tcPr>
            <w:tcW w:w="837" w:type="dxa"/>
          </w:tcPr>
          <w:p>
            <w:pPr>
              <w:pStyle w:val="TableParagraph"/>
              <w:ind w:left="69"/>
              <w:rPr>
                <w:sz w:val="20"/>
              </w:rPr>
            </w:pPr>
            <w:r>
              <w:rPr>
                <w:sz w:val="20"/>
              </w:rPr>
              <w:t>R11</w:t>
            </w:r>
          </w:p>
        </w:tc>
        <w:tc>
          <w:tcPr>
            <w:tcW w:w="3641" w:type="dxa"/>
          </w:tcPr>
          <w:p>
            <w:pPr>
              <w:pStyle w:val="TableParagraph"/>
              <w:ind w:left="171" w:right="157"/>
              <w:jc w:val="center"/>
              <w:rPr>
                <w:sz w:val="20"/>
              </w:rPr>
            </w:pPr>
            <w:r>
              <w:rPr>
                <w:sz w:val="20"/>
              </w:rPr>
              <w:t>959.914,28</w:t>
            </w:r>
          </w:p>
        </w:tc>
      </w:tr>
      <w:tr>
        <w:trPr>
          <w:trHeight w:val="305" w:hRule="atLeast"/>
        </w:trPr>
        <w:tc>
          <w:tcPr>
            <w:tcW w:w="5158" w:type="dxa"/>
          </w:tcPr>
          <w:p>
            <w:pPr>
              <w:pStyle w:val="TableParagraph"/>
              <w:rPr>
                <w:sz w:val="20"/>
              </w:rPr>
            </w:pPr>
            <w:r>
              <w:rPr>
                <w:sz w:val="20"/>
              </w:rPr>
              <w:t>(+) De Presupuestos cerrados</w:t>
            </w:r>
          </w:p>
        </w:tc>
        <w:tc>
          <w:tcPr>
            <w:tcW w:w="837" w:type="dxa"/>
          </w:tcPr>
          <w:p>
            <w:pPr>
              <w:pStyle w:val="TableParagraph"/>
              <w:ind w:left="69"/>
              <w:rPr>
                <w:sz w:val="20"/>
              </w:rPr>
            </w:pPr>
            <w:r>
              <w:rPr>
                <w:sz w:val="20"/>
              </w:rPr>
              <w:t>R12</w:t>
            </w:r>
          </w:p>
        </w:tc>
        <w:tc>
          <w:tcPr>
            <w:tcW w:w="3641" w:type="dxa"/>
          </w:tcPr>
          <w:p>
            <w:pPr>
              <w:pStyle w:val="TableParagraph"/>
              <w:ind w:left="171" w:right="157"/>
              <w:jc w:val="center"/>
              <w:rPr>
                <w:sz w:val="20"/>
              </w:rPr>
            </w:pPr>
            <w:r>
              <w:rPr>
                <w:sz w:val="20"/>
              </w:rPr>
              <w:t>661.513,20</w:t>
            </w:r>
          </w:p>
        </w:tc>
      </w:tr>
      <w:tr>
        <w:trPr>
          <w:trHeight w:val="305" w:hRule="atLeast"/>
        </w:trPr>
        <w:tc>
          <w:tcPr>
            <w:tcW w:w="5158" w:type="dxa"/>
          </w:tcPr>
          <w:p>
            <w:pPr>
              <w:pStyle w:val="TableParagraph"/>
              <w:rPr>
                <w:sz w:val="20"/>
              </w:rPr>
            </w:pPr>
            <w:r>
              <w:rPr>
                <w:sz w:val="20"/>
              </w:rPr>
              <w:t>(+) De operaciones no presupuestarias</w:t>
            </w:r>
          </w:p>
        </w:tc>
        <w:tc>
          <w:tcPr>
            <w:tcW w:w="837" w:type="dxa"/>
          </w:tcPr>
          <w:p>
            <w:pPr>
              <w:pStyle w:val="TableParagraph"/>
              <w:ind w:left="69"/>
              <w:rPr>
                <w:sz w:val="20"/>
              </w:rPr>
            </w:pPr>
            <w:r>
              <w:rPr>
                <w:sz w:val="20"/>
              </w:rPr>
              <w:t>R15</w:t>
            </w:r>
          </w:p>
        </w:tc>
        <w:tc>
          <w:tcPr>
            <w:tcW w:w="3641" w:type="dxa"/>
          </w:tcPr>
          <w:p>
            <w:pPr>
              <w:pStyle w:val="TableParagraph"/>
              <w:ind w:left="171" w:right="157"/>
              <w:jc w:val="center"/>
              <w:rPr>
                <w:sz w:val="20"/>
              </w:rPr>
            </w:pPr>
            <w:r>
              <w:rPr>
                <w:sz w:val="20"/>
              </w:rPr>
              <w:t>2.416.279,34</w:t>
            </w:r>
          </w:p>
        </w:tc>
      </w:tr>
      <w:tr>
        <w:trPr>
          <w:trHeight w:val="305" w:hRule="atLeast"/>
        </w:trPr>
        <w:tc>
          <w:tcPr>
            <w:tcW w:w="5158" w:type="dxa"/>
          </w:tcPr>
          <w:p>
            <w:pPr>
              <w:pStyle w:val="TableParagraph"/>
              <w:rPr>
                <w:sz w:val="20"/>
              </w:rPr>
            </w:pPr>
            <w:r>
              <w:rPr>
                <w:sz w:val="20"/>
              </w:rPr>
              <w:t>3.- Total Obligaciones pendientes de Pago</w:t>
            </w:r>
          </w:p>
        </w:tc>
        <w:tc>
          <w:tcPr>
            <w:tcW w:w="837" w:type="dxa"/>
          </w:tcPr>
          <w:p>
            <w:pPr>
              <w:pStyle w:val="TableParagraph"/>
              <w:ind w:left="69"/>
              <w:rPr>
                <w:sz w:val="20"/>
              </w:rPr>
            </w:pPr>
            <w:r>
              <w:rPr>
                <w:sz w:val="20"/>
              </w:rPr>
              <w:t>R19t</w:t>
            </w:r>
          </w:p>
        </w:tc>
        <w:tc>
          <w:tcPr>
            <w:tcW w:w="3641" w:type="dxa"/>
          </w:tcPr>
          <w:p>
            <w:pPr>
              <w:pStyle w:val="TableParagraph"/>
              <w:ind w:left="171" w:right="157"/>
              <w:jc w:val="center"/>
              <w:rPr>
                <w:sz w:val="20"/>
              </w:rPr>
            </w:pPr>
            <w:r>
              <w:rPr>
                <w:sz w:val="20"/>
              </w:rPr>
              <w:t>4.037.706,82</w:t>
            </w:r>
          </w:p>
        </w:tc>
      </w:tr>
      <w:tr>
        <w:trPr>
          <w:trHeight w:val="305" w:hRule="atLeast"/>
        </w:trPr>
        <w:tc>
          <w:tcPr>
            <w:tcW w:w="5158" w:type="dxa"/>
          </w:tcPr>
          <w:p>
            <w:pPr>
              <w:pStyle w:val="TableParagraph"/>
              <w:ind w:left="0"/>
              <w:rPr>
                <w:rFonts w:ascii="Times New Roman"/>
                <w:sz w:val="18"/>
              </w:rPr>
            </w:pPr>
          </w:p>
        </w:tc>
        <w:tc>
          <w:tcPr>
            <w:tcW w:w="837" w:type="dxa"/>
          </w:tcPr>
          <w:p>
            <w:pPr>
              <w:pStyle w:val="TableParagraph"/>
              <w:ind w:left="0"/>
              <w:rPr>
                <w:rFonts w:ascii="Times New Roman"/>
                <w:sz w:val="18"/>
              </w:rPr>
            </w:pPr>
          </w:p>
        </w:tc>
        <w:tc>
          <w:tcPr>
            <w:tcW w:w="3641" w:type="dxa"/>
          </w:tcPr>
          <w:p>
            <w:pPr>
              <w:pStyle w:val="TableParagraph"/>
              <w:ind w:left="0"/>
              <w:rPr>
                <w:rFonts w:ascii="Times New Roman"/>
                <w:sz w:val="18"/>
              </w:rPr>
            </w:pPr>
          </w:p>
        </w:tc>
      </w:tr>
      <w:tr>
        <w:trPr>
          <w:trHeight w:val="610" w:hRule="atLeast"/>
        </w:trPr>
        <w:tc>
          <w:tcPr>
            <w:tcW w:w="5158" w:type="dxa"/>
          </w:tcPr>
          <w:p>
            <w:pPr>
              <w:pStyle w:val="TableParagraph"/>
              <w:rPr>
                <w:sz w:val="20"/>
              </w:rPr>
            </w:pPr>
            <w:r>
              <w:rPr>
                <w:sz w:val="20"/>
              </w:rPr>
              <w:t>(-) Cobros realizados pendientes de aplicación Definitiva</w:t>
            </w:r>
          </w:p>
        </w:tc>
        <w:tc>
          <w:tcPr>
            <w:tcW w:w="837" w:type="dxa"/>
          </w:tcPr>
          <w:p>
            <w:pPr>
              <w:pStyle w:val="TableParagraph"/>
              <w:ind w:left="69"/>
              <w:rPr>
                <w:sz w:val="20"/>
              </w:rPr>
            </w:pPr>
            <w:r>
              <w:rPr>
                <w:sz w:val="20"/>
              </w:rPr>
              <w:t>R06</w:t>
            </w:r>
          </w:p>
        </w:tc>
        <w:tc>
          <w:tcPr>
            <w:tcW w:w="3641" w:type="dxa"/>
          </w:tcPr>
          <w:p>
            <w:pPr>
              <w:pStyle w:val="TableParagraph"/>
              <w:ind w:left="171" w:right="157"/>
              <w:jc w:val="center"/>
              <w:rPr>
                <w:sz w:val="20"/>
              </w:rPr>
            </w:pPr>
            <w:r>
              <w:rPr>
                <w:sz w:val="20"/>
              </w:rPr>
              <w:t>716.370,50</w:t>
            </w:r>
          </w:p>
        </w:tc>
      </w:tr>
      <w:tr>
        <w:trPr>
          <w:trHeight w:val="610" w:hRule="atLeast"/>
        </w:trPr>
        <w:tc>
          <w:tcPr>
            <w:tcW w:w="5158" w:type="dxa"/>
          </w:tcPr>
          <w:p>
            <w:pPr>
              <w:pStyle w:val="TableParagraph"/>
              <w:rPr>
                <w:sz w:val="20"/>
              </w:rPr>
            </w:pPr>
            <w:r>
              <w:rPr>
                <w:sz w:val="20"/>
              </w:rPr>
              <w:t>(+) Pagos realizados pendientes de aplicación definitiva</w:t>
            </w:r>
          </w:p>
        </w:tc>
        <w:tc>
          <w:tcPr>
            <w:tcW w:w="837" w:type="dxa"/>
          </w:tcPr>
          <w:p>
            <w:pPr>
              <w:pStyle w:val="TableParagraph"/>
              <w:ind w:left="69"/>
              <w:rPr>
                <w:sz w:val="20"/>
              </w:rPr>
            </w:pPr>
            <w:r>
              <w:rPr>
                <w:sz w:val="20"/>
              </w:rPr>
              <w:t>R16</w:t>
            </w:r>
          </w:p>
        </w:tc>
        <w:tc>
          <w:tcPr>
            <w:tcW w:w="3641" w:type="dxa"/>
          </w:tcPr>
          <w:p>
            <w:pPr>
              <w:pStyle w:val="TableParagraph"/>
              <w:ind w:left="171" w:right="157"/>
              <w:jc w:val="center"/>
              <w:rPr>
                <w:sz w:val="20"/>
              </w:rPr>
            </w:pPr>
            <w:r>
              <w:rPr>
                <w:sz w:val="20"/>
              </w:rPr>
              <w:t>137.182,79</w:t>
            </w:r>
          </w:p>
        </w:tc>
      </w:tr>
      <w:tr>
        <w:trPr>
          <w:trHeight w:val="305" w:hRule="atLeast"/>
        </w:trPr>
        <w:tc>
          <w:tcPr>
            <w:tcW w:w="5158" w:type="dxa"/>
          </w:tcPr>
          <w:p>
            <w:pPr>
              <w:pStyle w:val="TableParagraph"/>
              <w:rPr>
                <w:sz w:val="20"/>
              </w:rPr>
            </w:pPr>
            <w:r>
              <w:rPr>
                <w:sz w:val="20"/>
              </w:rPr>
              <w:t>4.- Total Partidas pendientes de aplicación</w:t>
            </w:r>
          </w:p>
        </w:tc>
        <w:tc>
          <w:tcPr>
            <w:tcW w:w="837" w:type="dxa"/>
          </w:tcPr>
          <w:p>
            <w:pPr>
              <w:pStyle w:val="TableParagraph"/>
              <w:ind w:left="69"/>
              <w:rPr>
                <w:sz w:val="20"/>
              </w:rPr>
            </w:pPr>
            <w:r>
              <w:rPr>
                <w:sz w:val="20"/>
              </w:rPr>
              <w:t>R89t</w:t>
            </w:r>
          </w:p>
        </w:tc>
        <w:tc>
          <w:tcPr>
            <w:tcW w:w="3641" w:type="dxa"/>
          </w:tcPr>
          <w:p>
            <w:pPr>
              <w:pStyle w:val="TableParagraph"/>
              <w:ind w:left="171" w:right="156"/>
              <w:jc w:val="center"/>
              <w:rPr>
                <w:sz w:val="20"/>
              </w:rPr>
            </w:pPr>
            <w:r>
              <w:rPr>
                <w:sz w:val="20"/>
              </w:rPr>
              <w:t>-579.187,71</w:t>
            </w:r>
          </w:p>
        </w:tc>
      </w:tr>
      <w:tr>
        <w:trPr>
          <w:trHeight w:val="305" w:hRule="atLeast"/>
        </w:trPr>
        <w:tc>
          <w:tcPr>
            <w:tcW w:w="5158" w:type="dxa"/>
          </w:tcPr>
          <w:p>
            <w:pPr>
              <w:pStyle w:val="TableParagraph"/>
              <w:ind w:left="0"/>
              <w:rPr>
                <w:rFonts w:ascii="Times New Roman"/>
                <w:sz w:val="18"/>
              </w:rPr>
            </w:pPr>
          </w:p>
        </w:tc>
        <w:tc>
          <w:tcPr>
            <w:tcW w:w="837" w:type="dxa"/>
          </w:tcPr>
          <w:p>
            <w:pPr>
              <w:pStyle w:val="TableParagraph"/>
              <w:ind w:left="0"/>
              <w:rPr>
                <w:rFonts w:ascii="Times New Roman"/>
                <w:sz w:val="18"/>
              </w:rPr>
            </w:pPr>
          </w:p>
        </w:tc>
        <w:tc>
          <w:tcPr>
            <w:tcW w:w="3641" w:type="dxa"/>
          </w:tcPr>
          <w:p>
            <w:pPr>
              <w:pStyle w:val="TableParagraph"/>
              <w:ind w:left="0"/>
              <w:rPr>
                <w:rFonts w:ascii="Times New Roman"/>
                <w:sz w:val="18"/>
              </w:rPr>
            </w:pPr>
          </w:p>
        </w:tc>
      </w:tr>
      <w:tr>
        <w:trPr>
          <w:trHeight w:val="305" w:hRule="atLeast"/>
        </w:trPr>
        <w:tc>
          <w:tcPr>
            <w:tcW w:w="5158" w:type="dxa"/>
          </w:tcPr>
          <w:p>
            <w:pPr>
              <w:pStyle w:val="TableParagraph"/>
              <w:rPr>
                <w:sz w:val="20"/>
              </w:rPr>
            </w:pPr>
            <w:r>
              <w:rPr>
                <w:sz w:val="20"/>
              </w:rPr>
              <w:t>I. Remanente de Tesorería (1 + 2 - 3 + 4)</w:t>
            </w:r>
          </w:p>
        </w:tc>
        <w:tc>
          <w:tcPr>
            <w:tcW w:w="837" w:type="dxa"/>
          </w:tcPr>
          <w:p>
            <w:pPr>
              <w:pStyle w:val="TableParagraph"/>
              <w:ind w:left="69"/>
              <w:rPr>
                <w:sz w:val="20"/>
              </w:rPr>
            </w:pPr>
            <w:r>
              <w:rPr>
                <w:sz w:val="20"/>
              </w:rPr>
              <w:t>R39t</w:t>
            </w:r>
          </w:p>
        </w:tc>
        <w:tc>
          <w:tcPr>
            <w:tcW w:w="3641" w:type="dxa"/>
          </w:tcPr>
          <w:p>
            <w:pPr>
              <w:pStyle w:val="TableParagraph"/>
              <w:ind w:left="171" w:right="157"/>
              <w:jc w:val="center"/>
              <w:rPr>
                <w:sz w:val="20"/>
              </w:rPr>
            </w:pPr>
            <w:r>
              <w:rPr>
                <w:sz w:val="20"/>
              </w:rPr>
              <w:t>52.856.724,66</w:t>
            </w:r>
          </w:p>
        </w:tc>
      </w:tr>
      <w:tr>
        <w:trPr>
          <w:trHeight w:val="305" w:hRule="atLeast"/>
        </w:trPr>
        <w:tc>
          <w:tcPr>
            <w:tcW w:w="5158" w:type="dxa"/>
          </w:tcPr>
          <w:p>
            <w:pPr>
              <w:pStyle w:val="TableParagraph"/>
              <w:ind w:left="0"/>
              <w:rPr>
                <w:rFonts w:ascii="Times New Roman"/>
                <w:sz w:val="18"/>
              </w:rPr>
            </w:pPr>
          </w:p>
        </w:tc>
        <w:tc>
          <w:tcPr>
            <w:tcW w:w="837" w:type="dxa"/>
          </w:tcPr>
          <w:p>
            <w:pPr>
              <w:pStyle w:val="TableParagraph"/>
              <w:ind w:left="0"/>
              <w:rPr>
                <w:rFonts w:ascii="Times New Roman"/>
                <w:sz w:val="18"/>
              </w:rPr>
            </w:pPr>
          </w:p>
        </w:tc>
        <w:tc>
          <w:tcPr>
            <w:tcW w:w="3641" w:type="dxa"/>
          </w:tcPr>
          <w:p>
            <w:pPr>
              <w:pStyle w:val="TableParagraph"/>
              <w:ind w:left="0"/>
              <w:rPr>
                <w:rFonts w:ascii="Times New Roman"/>
                <w:sz w:val="18"/>
              </w:rPr>
            </w:pPr>
          </w:p>
        </w:tc>
      </w:tr>
      <w:tr>
        <w:trPr>
          <w:trHeight w:val="305" w:hRule="atLeast"/>
        </w:trPr>
        <w:tc>
          <w:tcPr>
            <w:tcW w:w="5158" w:type="dxa"/>
          </w:tcPr>
          <w:p>
            <w:pPr>
              <w:pStyle w:val="TableParagraph"/>
              <w:rPr>
                <w:sz w:val="20"/>
              </w:rPr>
            </w:pPr>
            <w:r>
              <w:rPr>
                <w:sz w:val="20"/>
              </w:rPr>
              <w:t>II. Saldos de dudoso cobro</w:t>
            </w:r>
          </w:p>
        </w:tc>
        <w:tc>
          <w:tcPr>
            <w:tcW w:w="837" w:type="dxa"/>
          </w:tcPr>
          <w:p>
            <w:pPr>
              <w:pStyle w:val="TableParagraph"/>
              <w:ind w:left="69"/>
              <w:rPr>
                <w:sz w:val="20"/>
              </w:rPr>
            </w:pPr>
            <w:r>
              <w:rPr>
                <w:sz w:val="20"/>
              </w:rPr>
              <w:t>R41</w:t>
            </w:r>
          </w:p>
        </w:tc>
        <w:tc>
          <w:tcPr>
            <w:tcW w:w="3641" w:type="dxa"/>
          </w:tcPr>
          <w:p>
            <w:pPr>
              <w:pStyle w:val="TableParagraph"/>
              <w:ind w:left="171" w:right="157"/>
              <w:jc w:val="center"/>
              <w:rPr>
                <w:sz w:val="20"/>
              </w:rPr>
            </w:pPr>
            <w:r>
              <w:rPr>
                <w:sz w:val="20"/>
              </w:rPr>
              <w:t>20000000</w:t>
            </w:r>
          </w:p>
        </w:tc>
      </w:tr>
      <w:tr>
        <w:trPr>
          <w:trHeight w:val="305" w:hRule="atLeast"/>
        </w:trPr>
        <w:tc>
          <w:tcPr>
            <w:tcW w:w="5158" w:type="dxa"/>
          </w:tcPr>
          <w:p>
            <w:pPr>
              <w:pStyle w:val="TableParagraph"/>
              <w:rPr>
                <w:sz w:val="20"/>
              </w:rPr>
            </w:pPr>
            <w:r>
              <w:rPr>
                <w:sz w:val="20"/>
              </w:rPr>
              <w:t>III. Exceso de financiación afectada</w:t>
            </w:r>
          </w:p>
        </w:tc>
        <w:tc>
          <w:tcPr>
            <w:tcW w:w="837" w:type="dxa"/>
          </w:tcPr>
          <w:p>
            <w:pPr>
              <w:pStyle w:val="TableParagraph"/>
              <w:ind w:left="69"/>
              <w:rPr>
                <w:sz w:val="20"/>
              </w:rPr>
            </w:pPr>
            <w:r>
              <w:rPr>
                <w:sz w:val="20"/>
              </w:rPr>
              <w:t>R42</w:t>
            </w:r>
          </w:p>
        </w:tc>
        <w:tc>
          <w:tcPr>
            <w:tcW w:w="3641" w:type="dxa"/>
          </w:tcPr>
          <w:p>
            <w:pPr>
              <w:pStyle w:val="TableParagraph"/>
              <w:ind w:left="171" w:right="157"/>
              <w:jc w:val="center"/>
              <w:rPr>
                <w:sz w:val="20"/>
              </w:rPr>
            </w:pPr>
            <w:r>
              <w:rPr>
                <w:sz w:val="20"/>
              </w:rPr>
              <w:t>6189706,26</w:t>
            </w:r>
          </w:p>
        </w:tc>
      </w:tr>
      <w:tr>
        <w:trPr>
          <w:trHeight w:val="610" w:hRule="atLeast"/>
        </w:trPr>
        <w:tc>
          <w:tcPr>
            <w:tcW w:w="5158" w:type="dxa"/>
          </w:tcPr>
          <w:p>
            <w:pPr>
              <w:pStyle w:val="TableParagraph"/>
              <w:ind w:right="150"/>
              <w:rPr>
                <w:sz w:val="20"/>
              </w:rPr>
            </w:pPr>
            <w:r>
              <w:rPr>
                <w:sz w:val="20"/>
              </w:rPr>
              <w:t>IV. Remanente de Tesorería para Gastos generales (I - II - III)</w:t>
            </w:r>
          </w:p>
        </w:tc>
        <w:tc>
          <w:tcPr>
            <w:tcW w:w="837" w:type="dxa"/>
          </w:tcPr>
          <w:p>
            <w:pPr>
              <w:pStyle w:val="TableParagraph"/>
              <w:ind w:left="69"/>
              <w:rPr>
                <w:sz w:val="20"/>
              </w:rPr>
            </w:pPr>
            <w:r>
              <w:rPr>
                <w:sz w:val="20"/>
              </w:rPr>
              <w:t>R49t</w:t>
            </w:r>
          </w:p>
        </w:tc>
        <w:tc>
          <w:tcPr>
            <w:tcW w:w="3641" w:type="dxa"/>
          </w:tcPr>
          <w:p>
            <w:pPr>
              <w:pStyle w:val="TableParagraph"/>
              <w:ind w:left="171" w:right="157"/>
              <w:jc w:val="center"/>
              <w:rPr>
                <w:sz w:val="20"/>
              </w:rPr>
            </w:pPr>
            <w:r>
              <w:rPr>
                <w:sz w:val="20"/>
              </w:rPr>
              <w:t>26667018,40</w:t>
            </w:r>
          </w:p>
        </w:tc>
      </w:tr>
      <w:tr>
        <w:trPr>
          <w:trHeight w:val="305" w:hRule="atLeast"/>
        </w:trPr>
        <w:tc>
          <w:tcPr>
            <w:tcW w:w="5158" w:type="dxa"/>
          </w:tcPr>
          <w:p>
            <w:pPr>
              <w:pStyle w:val="TableParagraph"/>
              <w:ind w:left="0"/>
              <w:rPr>
                <w:rFonts w:ascii="Times New Roman"/>
                <w:sz w:val="18"/>
              </w:rPr>
            </w:pPr>
          </w:p>
        </w:tc>
        <w:tc>
          <w:tcPr>
            <w:tcW w:w="837" w:type="dxa"/>
          </w:tcPr>
          <w:p>
            <w:pPr>
              <w:pStyle w:val="TableParagraph"/>
              <w:ind w:left="0"/>
              <w:rPr>
                <w:rFonts w:ascii="Times New Roman"/>
                <w:sz w:val="18"/>
              </w:rPr>
            </w:pPr>
          </w:p>
        </w:tc>
        <w:tc>
          <w:tcPr>
            <w:tcW w:w="3641" w:type="dxa"/>
          </w:tcPr>
          <w:p>
            <w:pPr>
              <w:pStyle w:val="TableParagraph"/>
              <w:ind w:left="0"/>
              <w:rPr>
                <w:rFonts w:ascii="Times New Roman"/>
                <w:sz w:val="18"/>
              </w:rPr>
            </w:pPr>
          </w:p>
        </w:tc>
      </w:tr>
      <w:tr>
        <w:trPr>
          <w:trHeight w:val="610" w:hRule="atLeast"/>
        </w:trPr>
        <w:tc>
          <w:tcPr>
            <w:tcW w:w="5158" w:type="dxa"/>
          </w:tcPr>
          <w:p>
            <w:pPr>
              <w:pStyle w:val="TableParagraph"/>
              <w:ind w:right="683"/>
              <w:rPr>
                <w:sz w:val="20"/>
              </w:rPr>
            </w:pPr>
            <w:r>
              <w:rPr>
                <w:sz w:val="20"/>
              </w:rPr>
              <w:t>V. Saldo de obligaciones pendientes de aplicar al Presupuesto a final de período</w:t>
            </w:r>
          </w:p>
        </w:tc>
        <w:tc>
          <w:tcPr>
            <w:tcW w:w="837" w:type="dxa"/>
          </w:tcPr>
          <w:p>
            <w:pPr>
              <w:pStyle w:val="TableParagraph"/>
              <w:ind w:left="69"/>
              <w:rPr>
                <w:sz w:val="20"/>
              </w:rPr>
            </w:pPr>
            <w:r>
              <w:rPr>
                <w:sz w:val="20"/>
              </w:rPr>
              <w:t>R59t</w:t>
            </w:r>
          </w:p>
        </w:tc>
        <w:tc>
          <w:tcPr>
            <w:tcW w:w="3641" w:type="dxa"/>
          </w:tcPr>
          <w:p>
            <w:pPr>
              <w:pStyle w:val="TableParagraph"/>
              <w:ind w:left="171" w:right="157"/>
              <w:jc w:val="center"/>
              <w:rPr>
                <w:sz w:val="20"/>
              </w:rPr>
            </w:pPr>
            <w:r>
              <w:rPr>
                <w:sz w:val="20"/>
              </w:rPr>
              <w:t>0,00</w:t>
            </w:r>
          </w:p>
        </w:tc>
      </w:tr>
      <w:tr>
        <w:trPr>
          <w:trHeight w:val="610" w:hRule="atLeast"/>
        </w:trPr>
        <w:tc>
          <w:tcPr>
            <w:tcW w:w="5158" w:type="dxa"/>
          </w:tcPr>
          <w:p>
            <w:pPr>
              <w:pStyle w:val="TableParagraph"/>
              <w:ind w:right="294"/>
              <w:rPr>
                <w:sz w:val="20"/>
              </w:rPr>
            </w:pPr>
            <w:r>
              <w:rPr>
                <w:sz w:val="20"/>
              </w:rPr>
              <w:t>VI. Saldo de acreedores por devolución de ingresos a final de período</w:t>
            </w:r>
          </w:p>
        </w:tc>
        <w:tc>
          <w:tcPr>
            <w:tcW w:w="837" w:type="dxa"/>
          </w:tcPr>
          <w:p>
            <w:pPr>
              <w:pStyle w:val="TableParagraph"/>
              <w:ind w:left="69"/>
              <w:rPr>
                <w:sz w:val="20"/>
              </w:rPr>
            </w:pPr>
            <w:r>
              <w:rPr>
                <w:sz w:val="20"/>
              </w:rPr>
              <w:t>R69t</w:t>
            </w:r>
          </w:p>
        </w:tc>
        <w:tc>
          <w:tcPr>
            <w:tcW w:w="3641" w:type="dxa"/>
          </w:tcPr>
          <w:p>
            <w:pPr>
              <w:pStyle w:val="TableParagraph"/>
              <w:ind w:left="171" w:right="157"/>
              <w:jc w:val="center"/>
              <w:rPr>
                <w:sz w:val="20"/>
              </w:rPr>
            </w:pPr>
            <w:r>
              <w:rPr>
                <w:sz w:val="20"/>
              </w:rPr>
              <w:t>183.156,11</w:t>
            </w:r>
          </w:p>
        </w:tc>
      </w:tr>
      <w:tr>
        <w:trPr>
          <w:trHeight w:val="610" w:hRule="atLeast"/>
        </w:trPr>
        <w:tc>
          <w:tcPr>
            <w:tcW w:w="5158" w:type="dxa"/>
          </w:tcPr>
          <w:p>
            <w:pPr>
              <w:pStyle w:val="TableParagraph"/>
              <w:ind w:right="407"/>
              <w:rPr>
                <w:sz w:val="20"/>
              </w:rPr>
            </w:pPr>
            <w:r>
              <w:rPr>
                <w:sz w:val="20"/>
              </w:rPr>
              <w:t>VII. REMANENTE DE TESORERÍA PARA GASTOS GENERALES AJUSTADO (IV-V-VI)</w:t>
            </w:r>
          </w:p>
        </w:tc>
        <w:tc>
          <w:tcPr>
            <w:tcW w:w="837" w:type="dxa"/>
          </w:tcPr>
          <w:p>
            <w:pPr>
              <w:pStyle w:val="TableParagraph"/>
              <w:ind w:left="69"/>
              <w:rPr>
                <w:sz w:val="20"/>
              </w:rPr>
            </w:pPr>
            <w:r>
              <w:rPr>
                <w:sz w:val="20"/>
              </w:rPr>
              <w:t>R79t</w:t>
            </w:r>
          </w:p>
        </w:tc>
        <w:tc>
          <w:tcPr>
            <w:tcW w:w="3641" w:type="dxa"/>
          </w:tcPr>
          <w:p>
            <w:pPr>
              <w:pStyle w:val="TableParagraph"/>
              <w:ind w:left="171" w:right="157"/>
              <w:jc w:val="center"/>
              <w:rPr>
                <w:sz w:val="20"/>
              </w:rPr>
            </w:pPr>
            <w:r>
              <w:rPr>
                <w:sz w:val="20"/>
              </w:rPr>
              <w:t>26483862,29</w:t>
            </w:r>
          </w:p>
        </w:tc>
      </w:tr>
    </w:tbl>
    <w:p>
      <w:pPr>
        <w:pStyle w:val="BodyText"/>
      </w:pPr>
    </w:p>
    <w:p>
      <w:pPr>
        <w:pStyle w:val="BodyText"/>
      </w:pPr>
    </w:p>
    <w:p>
      <w:pPr>
        <w:pStyle w:val="BodyText"/>
      </w:pPr>
    </w:p>
    <w:p>
      <w:pPr>
        <w:pStyle w:val="BodyText"/>
        <w:spacing w:before="3"/>
        <w:rPr>
          <w:sz w:val="28"/>
        </w:rPr>
      </w:pPr>
    </w:p>
    <w:p>
      <w:pPr>
        <w:pStyle w:val="BodyText"/>
        <w:spacing w:before="92"/>
        <w:ind w:left="138" w:right="109"/>
        <w:jc w:val="both"/>
      </w:pPr>
      <w:r>
        <w:rPr>
          <w:b/>
        </w:rPr>
        <w:t>CUARTO.- </w:t>
      </w:r>
      <w:r>
        <w:rPr/>
        <w:t>Dése cuenta al Pleno en la siguiente sesión que se celebre. (Art. 193.4 del Texto refundido la ley Reguladora de las Haciendas Locales, aprobado mediante el Real Decreto Legislativo 2/2004, de 5 de marzo).</w:t>
      </w:r>
    </w:p>
    <w:p>
      <w:pPr>
        <w:pStyle w:val="BodyText"/>
        <w:spacing w:before="4"/>
        <w:rPr>
          <w:sz w:val="24"/>
        </w:rPr>
      </w:pPr>
    </w:p>
    <w:p>
      <w:pPr>
        <w:pStyle w:val="BodyText"/>
        <w:ind w:left="138" w:right="108"/>
        <w:jc w:val="both"/>
      </w:pPr>
      <w:r>
        <w:rPr>
          <w:b/>
        </w:rPr>
        <w:t>QUINTO.- </w:t>
      </w:r>
      <w:r>
        <w:rPr/>
        <w:t>Que una vez haya sido aprobada la Liquidación por parte de la Alcaldía-Presidencia, procede remitir un ejemplar a las Administraciones Estatal y Autonómica, de conformidad con lo establecido en el Art.193.5 del Texto refundido la Ley Reguladora de las Haciendas Locales, aprobado mediante el Real Decreto Legislativo 2/2004, de 5 de marzo.</w:t>
      </w:r>
    </w:p>
    <w:p>
      <w:pPr>
        <w:pStyle w:val="BodyText"/>
        <w:spacing w:before="4"/>
        <w:rPr>
          <w:sz w:val="24"/>
        </w:rPr>
      </w:pPr>
    </w:p>
    <w:p>
      <w:pPr>
        <w:pStyle w:val="BodyText"/>
        <w:tabs>
          <w:tab w:pos="5730" w:val="left" w:leader="none"/>
        </w:tabs>
        <w:ind w:left="138"/>
        <w:jc w:val="both"/>
      </w:pPr>
      <w:r>
        <w:rPr/>
        <w:t>EL</w:t>
      </w:r>
      <w:r>
        <w:rPr>
          <w:spacing w:val="-6"/>
        </w:rPr>
        <w:t> </w:t>
      </w:r>
      <w:r>
        <w:rPr/>
        <w:t>ALCALDE-PRESIDENTE</w:t>
        <w:tab/>
        <w:t>EL</w:t>
      </w:r>
      <w:r>
        <w:rPr>
          <w:spacing w:val="-1"/>
        </w:rPr>
        <w:t> </w:t>
      </w:r>
      <w:r>
        <w:rPr/>
        <w:t>SECRETARIO</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27"/>
        </w:rPr>
      </w:pPr>
    </w:p>
    <w:p>
      <w:pPr>
        <w:pStyle w:val="BodyText"/>
        <w:ind w:left="138" w:right="108"/>
        <w:jc w:val="both"/>
        <w:rPr>
          <w:rFonts w:ascii="Arial" w:hAnsi="Arial"/>
        </w:rPr>
      </w:pPr>
      <w:r>
        <w:rPr>
          <w:rFonts w:ascii="Arial" w:hAnsi="Arial"/>
        </w:rPr>
        <w:t>Lo manda y firma el Alcalde del Ayuntamiento de Tías, don José Juan Cruz Saavedra, de lo que como Secretario doy fe.</w:t>
      </w:r>
    </w:p>
    <w:p>
      <w:pPr>
        <w:spacing w:after="0"/>
        <w:jc w:val="both"/>
        <w:rPr>
          <w:rFonts w:ascii="Arial" w:hAnsi="Arial"/>
        </w:rPr>
        <w:sectPr>
          <w:pgSz w:w="11910" w:h="16840"/>
          <w:pgMar w:header="326" w:footer="1048" w:top="1660" w:bottom="1240" w:left="1280" w:right="740"/>
        </w:sectPr>
      </w:pPr>
    </w:p>
    <w:p>
      <w:pPr>
        <w:pStyle w:val="BodyText"/>
        <w:spacing w:before="111"/>
        <w:ind w:left="138"/>
        <w:rPr>
          <w:rFonts w:ascii="Arial" w:hAnsi="Arial"/>
        </w:rPr>
      </w:pPr>
      <w:r>
        <w:rPr>
          <w:rFonts w:ascii="Arial" w:hAnsi="Arial"/>
        </w:rPr>
        <w:t>En Tías (Lanzarote),</w:t>
      </w:r>
    </w:p>
    <w:p>
      <w:pPr>
        <w:pStyle w:val="BodyText"/>
        <w:rPr>
          <w:rFonts w:ascii="Arial"/>
        </w:rPr>
      </w:pPr>
    </w:p>
    <w:p>
      <w:pPr>
        <w:pStyle w:val="BodyText"/>
        <w:rPr>
          <w:rFonts w:ascii="Arial"/>
        </w:rPr>
      </w:pPr>
    </w:p>
    <w:p>
      <w:pPr>
        <w:spacing w:after="0"/>
        <w:rPr>
          <w:rFonts w:ascii="Arial"/>
        </w:rPr>
        <w:sectPr>
          <w:pgSz w:w="11910" w:h="16840"/>
          <w:pgMar w:header="326" w:footer="1048" w:top="1660" w:bottom="1240" w:left="1280" w:right="740"/>
        </w:sectPr>
      </w:pPr>
    </w:p>
    <w:p>
      <w:pPr>
        <w:pStyle w:val="BodyText"/>
        <w:spacing w:before="7"/>
        <w:rPr>
          <w:rFonts w:ascii="Arial"/>
          <w:sz w:val="22"/>
        </w:rPr>
      </w:pPr>
    </w:p>
    <w:p>
      <w:pPr>
        <w:pStyle w:val="BodyText"/>
        <w:spacing w:line="211" w:lineRule="auto"/>
        <w:ind w:left="1400"/>
        <w:rPr>
          <w:rFonts w:ascii="Arial" w:hAnsi="Arial"/>
        </w:rPr>
      </w:pPr>
      <w:r>
        <w:rPr>
          <w:rFonts w:ascii="Arial" w:hAnsi="Arial"/>
        </w:rPr>
        <w:t>Documento firmado electrónicamente el día 18/02/2025 a las 15:23:24 por: El Alcalde</w:t>
      </w:r>
    </w:p>
    <w:p>
      <w:pPr>
        <w:pStyle w:val="BodyText"/>
        <w:spacing w:line="208" w:lineRule="exact"/>
        <w:ind w:left="1400"/>
        <w:rPr>
          <w:rFonts w:ascii="Arial"/>
        </w:rPr>
      </w:pPr>
      <w:r>
        <w:rPr>
          <w:rFonts w:ascii="Arial"/>
        </w:rPr>
        <w:t>Fdo.: JOSE JUAN CRUZ SAAVEDRA</w:t>
      </w:r>
    </w:p>
    <w:p>
      <w:pPr>
        <w:pStyle w:val="BodyText"/>
        <w:spacing w:before="6"/>
        <w:rPr>
          <w:rFonts w:ascii="Arial"/>
        </w:rPr>
      </w:pPr>
      <w:r>
        <w:rPr/>
        <w:br w:type="column"/>
      </w:r>
      <w:r>
        <w:rPr>
          <w:rFonts w:ascii="Arial"/>
        </w:rPr>
      </w:r>
    </w:p>
    <w:p>
      <w:pPr>
        <w:spacing w:line="194" w:lineRule="exact" w:before="0"/>
        <w:ind w:left="213" w:right="0" w:firstLine="0"/>
        <w:jc w:val="left"/>
        <w:rPr>
          <w:rFonts w:ascii="Arial"/>
          <w:sz w:val="18"/>
        </w:rPr>
      </w:pPr>
      <w:r>
        <w:rPr>
          <w:rFonts w:ascii="Arial"/>
          <w:sz w:val="18"/>
        </w:rPr>
        <w:t>ISOF 03/2025</w:t>
      </w:r>
    </w:p>
    <w:p>
      <w:pPr>
        <w:spacing w:line="211" w:lineRule="auto" w:before="8"/>
        <w:ind w:left="213" w:right="1418" w:firstLine="0"/>
        <w:jc w:val="left"/>
        <w:rPr>
          <w:rFonts w:ascii="Arial" w:hAnsi="Arial"/>
          <w:sz w:val="18"/>
        </w:rPr>
      </w:pPr>
      <w:r>
        <w:rPr>
          <w:rFonts w:ascii="Arial" w:hAnsi="Arial"/>
          <w:sz w:val="18"/>
        </w:rPr>
        <w:t>Documento firmado electrónicamente el día 21/02/2025 a las 8:20:04 por</w:t>
      </w:r>
    </w:p>
    <w:p>
      <w:pPr>
        <w:spacing w:line="174" w:lineRule="exact" w:before="0"/>
        <w:ind w:left="213" w:right="0" w:firstLine="0"/>
        <w:jc w:val="left"/>
        <w:rPr>
          <w:rFonts w:ascii="Arial"/>
          <w:sz w:val="18"/>
        </w:rPr>
      </w:pPr>
      <w:r>
        <w:rPr>
          <w:rFonts w:ascii="Arial"/>
          <w:sz w:val="18"/>
        </w:rPr>
        <w:t>El Secretario</w:t>
      </w:r>
    </w:p>
    <w:p>
      <w:pPr>
        <w:spacing w:line="211" w:lineRule="auto" w:before="7"/>
        <w:ind w:left="213" w:right="1418" w:firstLine="0"/>
        <w:jc w:val="left"/>
        <w:rPr>
          <w:rFonts w:ascii="Arial"/>
          <w:sz w:val="18"/>
        </w:rPr>
      </w:pPr>
      <w:r>
        <w:rPr>
          <w:rFonts w:ascii="Arial"/>
          <w:sz w:val="18"/>
        </w:rPr>
        <w:t>Fdo.:FERNANDO PEREZ-UTRILLA PEREZ</w:t>
      </w:r>
    </w:p>
    <w:sectPr>
      <w:type w:val="continuous"/>
      <w:pgSz w:w="11910" w:h="16840"/>
      <w:pgMar w:top="1660" w:bottom="1240" w:left="1280" w:right="740"/>
      <w:cols w:num="2" w:equalWidth="0">
        <w:col w:w="4807" w:space="40"/>
        <w:col w:w="50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053504"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2052480"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2051456"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5</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15704543545377533271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050432"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049408"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260928">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2054528"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0"/>
      <w:szCs w:val="2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ind w:left="70"/>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2025-06-23T12:59:52Z</dcterms:created>
  <dcterms:modified xsi:type="dcterms:W3CDTF">2025-06-23T12:59:52Z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2025-06-23T00:00:00Z</vt:filetime>
  </property>
</Properties>
</file>