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3"/>
        </w:rPr>
      </w:pPr>
    </w:p>
    <w:p>
      <w:pPr>
        <w:spacing w:before="0"/>
        <w:ind w:left="3599" w:right="0" w:firstLine="0"/>
        <w:jc w:val="left"/>
        <w:rPr>
          <w:b/>
          <w:sz w:val="24"/>
        </w:rPr>
      </w:pPr>
      <w:r>
        <w:rPr/>
        <w:pict>
          <v:shapetype id="_x0000_t202" o:spt="202" coordsize="21600,21600" path="m,l,21600r21600,l21600,xe">
            <v:stroke joinstyle="miter"/>
            <v:path gradientshapeok="t" o:connecttype="rect"/>
          </v:shapetype>
          <v:shape style="position:absolute;margin-left:.597812pt;margin-top:-49.792446pt;width:23.8pt;height:582.2pt;mso-position-horizontal-relative:page;mso-position-vertical-relative:paragraph;z-index:-2527621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15711470763626204765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r>
        <w:rPr>
          <w:b/>
          <w:sz w:val="24"/>
        </w:rPr>
        <w:t>INFORME DE INTERVENCIÓN</w:t>
      </w:r>
    </w:p>
    <w:p>
      <w:pPr>
        <w:pStyle w:val="BodyText"/>
        <w:spacing w:before="2"/>
        <w:rPr>
          <w:b/>
          <w:sz w:val="36"/>
        </w:rPr>
      </w:pPr>
    </w:p>
    <w:p>
      <w:pPr>
        <w:spacing w:line="720" w:lineRule="auto" w:before="0"/>
        <w:ind w:left="2823" w:right="2653" w:hanging="2124"/>
        <w:jc w:val="left"/>
        <w:rPr>
          <w:b/>
          <w:sz w:val="24"/>
        </w:rPr>
      </w:pPr>
      <w:r>
        <w:rPr/>
        <w:pict>
          <v:line style="position:absolute;mso-position-horizontal-relative:page;mso-position-vertical-relative:paragraph;z-index:251658240" from="24.35pt,183.822895pt" to="24.35pt,26.412895pt" stroked="true" strokeweight=".53333pt" strokecolor="#0000ff">
            <v:stroke dashstyle="solid"/>
            <w10:wrap type="none"/>
          </v:line>
        </w:pict>
      </w:r>
      <w:r>
        <w:rPr>
          <w:b/>
          <w:sz w:val="24"/>
        </w:rPr>
        <w:t>ASUNTO: LIQUIDACION Y CUENTA GENERAL DEL PRESUPUESTO 2024 I .LEGISLACIÓN APLICABLE</w:t>
      </w:r>
    </w:p>
    <w:p>
      <w:pPr>
        <w:pStyle w:val="ListParagraph"/>
        <w:numPr>
          <w:ilvl w:val="0"/>
          <w:numId w:val="1"/>
        </w:numPr>
        <w:tabs>
          <w:tab w:pos="1059" w:val="left" w:leader="none"/>
          <w:tab w:pos="1060" w:val="left" w:leader="none"/>
        </w:tabs>
        <w:spacing w:line="210" w:lineRule="exact" w:before="0" w:after="0"/>
        <w:ind w:left="1060" w:right="0" w:hanging="361"/>
        <w:jc w:val="left"/>
        <w:rPr>
          <w:sz w:val="20"/>
        </w:rPr>
      </w:pPr>
      <w:r>
        <w:rPr>
          <w:sz w:val="20"/>
        </w:rPr>
        <w:t>Artículos 191 a 193 del Texto Refundido de la Ley de Haciendas Locales, aprobado por el Real Decreto</w:t>
      </w:r>
      <w:r>
        <w:rPr>
          <w:spacing w:val="-19"/>
          <w:sz w:val="20"/>
        </w:rPr>
        <w:t> </w:t>
      </w:r>
      <w:r>
        <w:rPr>
          <w:sz w:val="20"/>
        </w:rPr>
        <w:t>–</w:t>
      </w:r>
    </w:p>
    <w:p>
      <w:pPr>
        <w:pStyle w:val="BodyText"/>
        <w:ind w:left="1057"/>
      </w:pPr>
      <w:r>
        <w:rPr/>
        <w:t>Legislativo 2/2004, de 5 de marzo.</w:t>
      </w:r>
    </w:p>
    <w:p>
      <w:pPr>
        <w:pStyle w:val="BodyText"/>
        <w:spacing w:before="9"/>
        <w:rPr>
          <w:sz w:val="19"/>
        </w:rPr>
      </w:pPr>
    </w:p>
    <w:p>
      <w:pPr>
        <w:pStyle w:val="ListParagraph"/>
        <w:numPr>
          <w:ilvl w:val="0"/>
          <w:numId w:val="1"/>
        </w:numPr>
        <w:tabs>
          <w:tab w:pos="1059" w:val="left" w:leader="none"/>
          <w:tab w:pos="1060" w:val="left" w:leader="none"/>
        </w:tabs>
        <w:spacing w:line="240" w:lineRule="auto" w:before="1" w:after="0"/>
        <w:ind w:left="1060" w:right="0" w:hanging="360"/>
        <w:jc w:val="left"/>
        <w:rPr>
          <w:sz w:val="20"/>
        </w:rPr>
      </w:pPr>
      <w:r>
        <w:rPr>
          <w:sz w:val="20"/>
        </w:rPr>
        <w:t>Ley General de Estabilidad Presupuestaria</w:t>
      </w:r>
      <w:r>
        <w:rPr>
          <w:spacing w:val="-1"/>
          <w:sz w:val="20"/>
        </w:rPr>
        <w:t> </w:t>
      </w:r>
      <w:r>
        <w:rPr>
          <w:sz w:val="20"/>
        </w:rPr>
        <w:t>2/2012.</w:t>
      </w:r>
    </w:p>
    <w:p>
      <w:pPr>
        <w:pStyle w:val="BodyText"/>
      </w:pPr>
    </w:p>
    <w:p>
      <w:pPr>
        <w:pStyle w:val="ListParagraph"/>
        <w:numPr>
          <w:ilvl w:val="0"/>
          <w:numId w:val="1"/>
        </w:numPr>
        <w:tabs>
          <w:tab w:pos="1059" w:val="left" w:leader="none"/>
          <w:tab w:pos="1060" w:val="left" w:leader="none"/>
        </w:tabs>
        <w:spacing w:line="240" w:lineRule="auto" w:before="0" w:after="0"/>
        <w:ind w:left="1060" w:right="2162" w:hanging="360"/>
        <w:jc w:val="left"/>
        <w:rPr>
          <w:sz w:val="20"/>
        </w:rPr>
      </w:pPr>
      <w:r>
        <w:rPr>
          <w:sz w:val="20"/>
        </w:rPr>
        <w:t>Real Decreto 1463/2007, de 2 de Noviembre, por el que se aprueba el Reglamento de desarrollo de la Ley 18/2001, de Estabilidad</w:t>
      </w:r>
      <w:r>
        <w:rPr>
          <w:spacing w:val="-1"/>
          <w:sz w:val="20"/>
        </w:rPr>
        <w:t> </w:t>
      </w:r>
      <w:r>
        <w:rPr>
          <w:sz w:val="20"/>
        </w:rPr>
        <w:t>Presupuestaria</w:t>
      </w:r>
    </w:p>
    <w:p>
      <w:pPr>
        <w:pStyle w:val="BodyText"/>
        <w:spacing w:before="9"/>
        <w:rPr>
          <w:sz w:val="19"/>
        </w:rPr>
      </w:pPr>
    </w:p>
    <w:p>
      <w:pPr>
        <w:pStyle w:val="ListParagraph"/>
        <w:numPr>
          <w:ilvl w:val="0"/>
          <w:numId w:val="1"/>
        </w:numPr>
        <w:tabs>
          <w:tab w:pos="1060" w:val="left" w:leader="none"/>
        </w:tabs>
        <w:spacing w:line="240" w:lineRule="auto" w:before="1" w:after="0"/>
        <w:ind w:left="1060" w:right="1777" w:hanging="360"/>
        <w:jc w:val="both"/>
        <w:rPr>
          <w:sz w:val="20"/>
        </w:rPr>
      </w:pPr>
      <w:r>
        <w:rPr>
          <w:sz w:val="20"/>
        </w:rPr>
        <w:t>Sección 3ª “Liquidación de los Presupuestos del Capítulo III,(artículo 89 y siguientes) del Rd.500/1990, de 20 de abril, y la Orden HAP/419/2014, de 14 de marzo, por la que se modifica la Orden EHA/3565/2008, de 3 de diciembre, por la que se aprueba la estructura de los presupuestos de las entidades</w:t>
      </w:r>
      <w:r>
        <w:rPr>
          <w:spacing w:val="-17"/>
          <w:sz w:val="20"/>
        </w:rPr>
        <w:t> </w:t>
      </w:r>
      <w:r>
        <w:rPr>
          <w:sz w:val="20"/>
        </w:rPr>
        <w:t>locales..</w:t>
      </w:r>
    </w:p>
    <w:p>
      <w:pPr>
        <w:pStyle w:val="BodyText"/>
      </w:pPr>
    </w:p>
    <w:p>
      <w:pPr>
        <w:pStyle w:val="BodyText"/>
        <w:spacing w:before="10"/>
        <w:rPr>
          <w:sz w:val="19"/>
        </w:rPr>
      </w:pPr>
    </w:p>
    <w:p>
      <w:pPr>
        <w:pStyle w:val="Heading2"/>
        <w:ind w:left="4652"/>
        <w:rPr>
          <w:i/>
          <w:u w:val="none"/>
        </w:rPr>
      </w:pPr>
      <w:r>
        <w:rPr>
          <w:i/>
          <w:u w:val="none"/>
        </w:rPr>
        <w:t>II. LIQUIDACIÓN DEL PRESUPUESTO</w:t>
      </w:r>
    </w:p>
    <w:p>
      <w:pPr>
        <w:spacing w:before="0"/>
        <w:ind w:left="700" w:right="0" w:firstLine="0"/>
        <w:jc w:val="left"/>
        <w:rPr>
          <w:i/>
          <w:sz w:val="20"/>
        </w:rPr>
      </w:pPr>
      <w:r>
        <w:rPr>
          <w:i/>
          <w:w w:val="99"/>
          <w:sz w:val="20"/>
        </w:rPr>
        <w:t>a</w:t>
      </w:r>
    </w:p>
    <w:p>
      <w:pPr>
        <w:spacing w:before="1"/>
        <w:ind w:left="700" w:right="0" w:firstLine="0"/>
        <w:jc w:val="left"/>
        <w:rPr>
          <w:b/>
          <w:sz w:val="20"/>
        </w:rPr>
      </w:pPr>
      <w:r>
        <w:rPr>
          <w:b/>
          <w:sz w:val="20"/>
          <w:u w:val="single"/>
        </w:rPr>
        <w:t>Ámbito Temporal </w:t>
      </w:r>
      <w:r>
        <w:rPr>
          <w:b/>
          <w:sz w:val="20"/>
        </w:rPr>
        <w:t>:</w:t>
      </w:r>
    </w:p>
    <w:p>
      <w:pPr>
        <w:pStyle w:val="BodyText"/>
        <w:spacing w:before="2"/>
        <w:rPr>
          <w:b/>
          <w:sz w:val="12"/>
        </w:rPr>
      </w:pPr>
    </w:p>
    <w:p>
      <w:pPr>
        <w:pStyle w:val="BodyText"/>
        <w:spacing w:before="91"/>
        <w:ind w:left="699" w:right="1882" w:firstLine="758"/>
      </w:pPr>
      <w:r>
        <w:rPr/>
        <w:t>El cierre y liquidación del Presupuesto General se efectuará, en cuanto a la recaudación de derechos y el pago de las obligaciones, el 31 de diciembre del año natural.</w:t>
      </w:r>
    </w:p>
    <w:p>
      <w:pPr>
        <w:pStyle w:val="BodyText"/>
        <w:ind w:left="699" w:right="1803" w:firstLine="708"/>
      </w:pPr>
      <w:r>
        <w:rPr/>
        <w:t>Los estados demostrativos de la liquidación del Presupuesto General deberán confeccionarse antes del día primero de marzo del ejercicio siguiente al que la misma se refiera.</w:t>
      </w:r>
    </w:p>
    <w:p>
      <w:pPr>
        <w:pStyle w:val="BodyText"/>
        <w:spacing w:before="11"/>
        <w:rPr>
          <w:sz w:val="19"/>
        </w:rPr>
      </w:pPr>
    </w:p>
    <w:p>
      <w:pPr>
        <w:spacing w:before="0"/>
        <w:ind w:left="699" w:right="0" w:firstLine="0"/>
        <w:jc w:val="left"/>
        <w:rPr>
          <w:b/>
          <w:sz w:val="20"/>
        </w:rPr>
      </w:pPr>
      <w:r>
        <w:rPr>
          <w:b/>
          <w:sz w:val="20"/>
          <w:u w:val="single"/>
        </w:rPr>
        <w:t>Estructura y contenido:</w:t>
      </w:r>
    </w:p>
    <w:p>
      <w:pPr>
        <w:pStyle w:val="BodyText"/>
        <w:rPr>
          <w:b/>
          <w:sz w:val="12"/>
        </w:rPr>
      </w:pPr>
    </w:p>
    <w:p>
      <w:pPr>
        <w:pStyle w:val="BodyText"/>
        <w:spacing w:before="90"/>
        <w:ind w:left="1408"/>
      </w:pPr>
      <w:r>
        <w:rPr/>
        <w:t>La liquidación pone de manifiesto:</w:t>
      </w:r>
    </w:p>
    <w:p>
      <w:pPr>
        <w:pStyle w:val="BodyText"/>
        <w:spacing w:before="1"/>
      </w:pPr>
    </w:p>
    <w:p>
      <w:pPr>
        <w:pStyle w:val="ListParagraph"/>
        <w:numPr>
          <w:ilvl w:val="0"/>
          <w:numId w:val="1"/>
        </w:numPr>
        <w:tabs>
          <w:tab w:pos="1059" w:val="left" w:leader="none"/>
          <w:tab w:pos="1060" w:val="left" w:leader="none"/>
        </w:tabs>
        <w:spacing w:line="240" w:lineRule="auto" w:before="0" w:after="0"/>
        <w:ind w:left="1060" w:right="2710" w:hanging="360"/>
        <w:jc w:val="left"/>
        <w:rPr>
          <w:sz w:val="20"/>
        </w:rPr>
      </w:pPr>
      <w:r>
        <w:rPr>
          <w:sz w:val="20"/>
        </w:rPr>
        <w:t>Respecto del Presupuesto de gastos y para cada partida presupuestaria, los créditos iniciales, sus modificaciones y los créditos definitivos, los gastos autorizados y comprometidos, las obligaciones reconocidas, los pagos ordenados y los pagos</w:t>
      </w:r>
      <w:r>
        <w:rPr>
          <w:spacing w:val="-5"/>
          <w:sz w:val="20"/>
        </w:rPr>
        <w:t> </w:t>
      </w:r>
      <w:r>
        <w:rPr>
          <w:sz w:val="20"/>
        </w:rPr>
        <w:t>realizados</w:t>
      </w:r>
    </w:p>
    <w:p>
      <w:pPr>
        <w:pStyle w:val="BodyText"/>
        <w:spacing w:before="10"/>
        <w:rPr>
          <w:sz w:val="19"/>
        </w:rPr>
      </w:pPr>
    </w:p>
    <w:p>
      <w:pPr>
        <w:pStyle w:val="ListParagraph"/>
        <w:numPr>
          <w:ilvl w:val="0"/>
          <w:numId w:val="1"/>
        </w:numPr>
        <w:tabs>
          <w:tab w:pos="1059" w:val="left" w:leader="none"/>
          <w:tab w:pos="1060" w:val="left" w:leader="none"/>
        </w:tabs>
        <w:spacing w:line="240" w:lineRule="auto" w:before="0" w:after="0"/>
        <w:ind w:left="1060" w:right="2311" w:hanging="360"/>
        <w:jc w:val="left"/>
        <w:rPr>
          <w:sz w:val="20"/>
        </w:rPr>
      </w:pPr>
      <w:r>
        <w:rPr>
          <w:sz w:val="20"/>
        </w:rPr>
        <w:t>Respecto del estado de ingresos y para cada concepto, las previsiones iniciales, sus modificaciones y las previsiones definitivas, los derechos reconocidos y anulados así como los recaudados</w:t>
      </w:r>
      <w:r>
        <w:rPr>
          <w:spacing w:val="-16"/>
          <w:sz w:val="20"/>
        </w:rPr>
        <w:t> </w:t>
      </w:r>
      <w:r>
        <w:rPr>
          <w:sz w:val="20"/>
        </w:rPr>
        <w:t>netos.</w:t>
      </w:r>
    </w:p>
    <w:p>
      <w:pPr>
        <w:pStyle w:val="BodyText"/>
        <w:spacing w:before="1"/>
      </w:pPr>
    </w:p>
    <w:p>
      <w:pPr>
        <w:pStyle w:val="BodyText"/>
        <w:ind w:left="1408"/>
      </w:pPr>
      <w:r>
        <w:rPr/>
        <w:t>Como consecuencia de la liquidación presupuestaria deberán determinarse las siguientes magnitudes:</w:t>
      </w:r>
    </w:p>
    <w:p>
      <w:pPr>
        <w:pStyle w:val="BodyText"/>
        <w:spacing w:before="1"/>
      </w:pPr>
    </w:p>
    <w:p>
      <w:pPr>
        <w:pStyle w:val="ListParagraph"/>
        <w:numPr>
          <w:ilvl w:val="1"/>
          <w:numId w:val="1"/>
        </w:numPr>
        <w:tabs>
          <w:tab w:pos="1767" w:val="left" w:leader="none"/>
          <w:tab w:pos="1769" w:val="left" w:leader="none"/>
        </w:tabs>
        <w:spacing w:line="229" w:lineRule="exact" w:before="0" w:after="0"/>
        <w:ind w:left="1768" w:right="0" w:hanging="361"/>
        <w:jc w:val="left"/>
        <w:rPr>
          <w:sz w:val="20"/>
        </w:rPr>
      </w:pPr>
      <w:r>
        <w:rPr>
          <w:sz w:val="20"/>
        </w:rPr>
        <w:t>Los derechos pendientes de cobro y las obligaciones pendientes de pago a 31 de</w:t>
      </w:r>
      <w:r>
        <w:rPr>
          <w:spacing w:val="-14"/>
          <w:sz w:val="20"/>
        </w:rPr>
        <w:t> </w:t>
      </w:r>
      <w:r>
        <w:rPr>
          <w:sz w:val="20"/>
        </w:rPr>
        <w:t>diciembre.</w:t>
      </w:r>
    </w:p>
    <w:p>
      <w:pPr>
        <w:pStyle w:val="ListParagraph"/>
        <w:numPr>
          <w:ilvl w:val="1"/>
          <w:numId w:val="1"/>
        </w:numPr>
        <w:tabs>
          <w:tab w:pos="1767" w:val="left" w:leader="none"/>
          <w:tab w:pos="1769" w:val="left" w:leader="none"/>
        </w:tabs>
        <w:spacing w:line="229" w:lineRule="exact" w:before="0" w:after="0"/>
        <w:ind w:left="1768" w:right="0" w:hanging="361"/>
        <w:jc w:val="left"/>
        <w:rPr>
          <w:sz w:val="20"/>
        </w:rPr>
      </w:pPr>
      <w:r>
        <w:rPr>
          <w:sz w:val="20"/>
        </w:rPr>
        <w:t>El Resultado Presupuestario del</w:t>
      </w:r>
      <w:r>
        <w:rPr>
          <w:spacing w:val="1"/>
          <w:sz w:val="20"/>
        </w:rPr>
        <w:t> </w:t>
      </w:r>
      <w:r>
        <w:rPr>
          <w:sz w:val="20"/>
        </w:rPr>
        <w:t>ejercicio.</w:t>
      </w:r>
    </w:p>
    <w:p>
      <w:pPr>
        <w:pStyle w:val="ListParagraph"/>
        <w:numPr>
          <w:ilvl w:val="1"/>
          <w:numId w:val="1"/>
        </w:numPr>
        <w:tabs>
          <w:tab w:pos="1767" w:val="left" w:leader="none"/>
          <w:tab w:pos="1769" w:val="left" w:leader="none"/>
        </w:tabs>
        <w:spacing w:line="240" w:lineRule="auto" w:before="0" w:after="0"/>
        <w:ind w:left="1768" w:right="0" w:hanging="361"/>
        <w:jc w:val="left"/>
        <w:rPr>
          <w:sz w:val="20"/>
        </w:rPr>
      </w:pPr>
      <w:r>
        <w:rPr>
          <w:sz w:val="20"/>
        </w:rPr>
        <w:t>Los Remanentes de</w:t>
      </w:r>
      <w:r>
        <w:rPr>
          <w:spacing w:val="-3"/>
          <w:sz w:val="20"/>
        </w:rPr>
        <w:t> </w:t>
      </w:r>
      <w:r>
        <w:rPr>
          <w:sz w:val="20"/>
        </w:rPr>
        <w:t>Crédito.</w:t>
      </w:r>
    </w:p>
    <w:p>
      <w:pPr>
        <w:pStyle w:val="ListParagraph"/>
        <w:numPr>
          <w:ilvl w:val="1"/>
          <w:numId w:val="1"/>
        </w:numPr>
        <w:tabs>
          <w:tab w:pos="1767" w:val="left" w:leader="none"/>
          <w:tab w:pos="1769" w:val="left" w:leader="none"/>
        </w:tabs>
        <w:spacing w:line="240" w:lineRule="auto" w:before="1" w:after="0"/>
        <w:ind w:left="1768" w:right="0" w:hanging="361"/>
        <w:jc w:val="left"/>
        <w:rPr>
          <w:sz w:val="20"/>
        </w:rPr>
      </w:pPr>
      <w:r>
        <w:rPr>
          <w:sz w:val="20"/>
        </w:rPr>
        <w:t>El Remanente de</w:t>
      </w:r>
      <w:r>
        <w:rPr>
          <w:spacing w:val="-1"/>
          <w:sz w:val="20"/>
        </w:rPr>
        <w:t> </w:t>
      </w:r>
      <w:r>
        <w:rPr>
          <w:sz w:val="20"/>
        </w:rPr>
        <w:t>Tesorería.</w:t>
      </w:r>
    </w:p>
    <w:p>
      <w:pPr>
        <w:spacing w:after="0" w:line="240" w:lineRule="auto"/>
        <w:jc w:val="left"/>
        <w:rPr>
          <w:sz w:val="20"/>
        </w:rPr>
        <w:sectPr>
          <w:headerReference w:type="default" r:id="rId5"/>
          <w:type w:val="continuous"/>
          <w:pgSz w:w="11900" w:h="16840"/>
          <w:pgMar w:header="698" w:top="1920" w:bottom="280" w:left="200" w:right="0"/>
        </w:sectPr>
      </w:pPr>
    </w:p>
    <w:p>
      <w:pPr>
        <w:pStyle w:val="BodyText"/>
      </w:pPr>
    </w:p>
    <w:p>
      <w:pPr>
        <w:pStyle w:val="BodyText"/>
      </w:pPr>
    </w:p>
    <w:p>
      <w:pPr>
        <w:pStyle w:val="BodyText"/>
      </w:pPr>
    </w:p>
    <w:p>
      <w:pPr>
        <w:pStyle w:val="BodyText"/>
      </w:pPr>
    </w:p>
    <w:p>
      <w:pPr>
        <w:pStyle w:val="BodyText"/>
      </w:pPr>
    </w:p>
    <w:p>
      <w:pPr>
        <w:pStyle w:val="BodyText"/>
      </w:pPr>
    </w:p>
    <w:p>
      <w:pPr>
        <w:pStyle w:val="BodyText"/>
        <w:rPr>
          <w:sz w:val="24"/>
        </w:rPr>
      </w:pPr>
    </w:p>
    <w:p>
      <w:pPr>
        <w:spacing w:before="0"/>
        <w:ind w:left="700" w:right="1845" w:firstLine="707"/>
        <w:jc w:val="left"/>
        <w:rPr>
          <w:sz w:val="20"/>
        </w:rPr>
      </w:pPr>
      <w:r>
        <w:rPr/>
        <w:pict>
          <v:shape style="position:absolute;margin-left:.597812pt;margin-top:-49.859646pt;width:23.8pt;height:582.2pt;mso-position-horizontal-relative:page;mso-position-vertical-relative:paragraph;z-index:-2527600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15711470763626204765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r>
        <w:rPr>
          <w:sz w:val="20"/>
        </w:rPr>
        <w:t>Los derechos </w:t>
      </w:r>
      <w:r>
        <w:rPr>
          <w:b/>
          <w:sz w:val="20"/>
        </w:rPr>
        <w:t>pendientes de cobro y las obligaciones pendientes de pago a 31 de diciembre </w:t>
      </w:r>
      <w:r>
        <w:rPr>
          <w:sz w:val="20"/>
        </w:rPr>
        <w:t>integrarán la agrupación de Presupuestos cerrados.</w:t>
      </w:r>
    </w:p>
    <w:p>
      <w:pPr>
        <w:pStyle w:val="BodyText"/>
        <w:spacing w:before="1"/>
      </w:pPr>
    </w:p>
    <w:p>
      <w:pPr>
        <w:pStyle w:val="BodyText"/>
        <w:spacing w:before="1"/>
        <w:ind w:left="699" w:right="1723" w:firstLine="708"/>
      </w:pPr>
      <w:r>
        <w:rPr/>
        <w:pict>
          <v:line style="position:absolute;mso-position-horizontal-relative:page;mso-position-vertical-relative:paragraph;z-index:251660288" from="24.35pt,183.805697pt" to="24.35pt,26.395697pt" stroked="true" strokeweight=".53333pt" strokecolor="#0000ff">
            <v:stroke dashstyle="solid"/>
            <w10:wrap type="none"/>
          </v:line>
        </w:pict>
      </w:r>
      <w:r>
        <w:rPr/>
        <w:t>El </w:t>
      </w:r>
      <w:r>
        <w:rPr>
          <w:b/>
          <w:u w:val="single"/>
        </w:rPr>
        <w:t>Resultado Presupuestario</w:t>
      </w:r>
      <w:r>
        <w:rPr>
          <w:b/>
        </w:rPr>
        <w:t> </w:t>
      </w:r>
      <w:r>
        <w:rPr/>
        <w:t>del ejercicio vendrá determinado por la diferencia entre los derechos presupuestarios netos liquidados durante el ejercicio y las obligaciones presupuestarias netas reconocidas durante el mismo período. Este resultado deberá ajustarse en los términos expresados en el artículo 97 del R.D. 500/90 y en la Instrucción de Contabilidad en función las desviaciones de financiación derivadas de los gastos con financiación afectada y los créditos gastados correspondientes a modificaciones presupuestarias que hayan sido financiadas con el Remanente de tesorería para gastos generales.</w:t>
      </w:r>
    </w:p>
    <w:p>
      <w:pPr>
        <w:pStyle w:val="BodyText"/>
      </w:pPr>
    </w:p>
    <w:p>
      <w:pPr>
        <w:pStyle w:val="BodyText"/>
        <w:ind w:left="699" w:right="2308" w:firstLine="708"/>
      </w:pPr>
      <w:r>
        <w:rPr/>
        <w:t>Los remanentes de crédito estarán constituidos por los saldos de créditos definitivos no afectados al cumplimiento de obligaciones reconocidas.</w:t>
      </w:r>
    </w:p>
    <w:p>
      <w:pPr>
        <w:pStyle w:val="BodyText"/>
        <w:spacing w:before="10"/>
        <w:rPr>
          <w:sz w:val="19"/>
        </w:rPr>
      </w:pPr>
    </w:p>
    <w:p>
      <w:pPr>
        <w:pStyle w:val="BodyText"/>
        <w:ind w:left="699" w:right="1882" w:firstLine="708"/>
      </w:pPr>
      <w:r>
        <w:rPr/>
        <w:t>Los remanentes de créditos sin más excepciones que las señaladas en el artículo 182 del TRLRHL, quedarán anulados al cierre del ejercicio y, en consecuencia, no se podrán incorporar al Presupuesto del ejercicio siguiente.</w:t>
      </w:r>
    </w:p>
    <w:p>
      <w:pPr>
        <w:pStyle w:val="BodyText"/>
      </w:pPr>
    </w:p>
    <w:p>
      <w:pPr>
        <w:pStyle w:val="BodyText"/>
        <w:ind w:left="699" w:right="1692" w:firstLine="708"/>
      </w:pPr>
      <w:r>
        <w:rPr/>
        <w:t>El </w:t>
      </w:r>
      <w:r>
        <w:rPr>
          <w:b/>
          <w:u w:val="single"/>
        </w:rPr>
        <w:t>Remanente de Tesorería</w:t>
      </w:r>
      <w:r>
        <w:rPr>
          <w:b/>
        </w:rPr>
        <w:t> </w:t>
      </w:r>
      <w:r>
        <w:rPr/>
        <w:t>de la Entidad Local estará integrado por los derechos pendientes de cobro, las obligaciones pendientes de pago y los fondos líquidos, todos referidos a 31 de diciembre del ejercicio. Será calculado de conformidad con las Reglas de la IC.</w:t>
      </w:r>
    </w:p>
    <w:p>
      <w:pPr>
        <w:pStyle w:val="BodyText"/>
        <w:spacing w:before="1"/>
      </w:pPr>
    </w:p>
    <w:p>
      <w:pPr>
        <w:pStyle w:val="BodyText"/>
        <w:ind w:left="699" w:right="1754" w:firstLine="707"/>
      </w:pPr>
      <w:r>
        <w:rPr/>
        <w:t>En caso de liquidación del Presupuesto con un resultado negativo en el cálculo del remanente de Tesorería deberá procederse de acuerdo con lo establecido en el artículo193, apartados 1 ,2 y 3 del TRLHL.</w:t>
      </w:r>
    </w:p>
    <w:p>
      <w:pPr>
        <w:pStyle w:val="BodyText"/>
        <w:spacing w:before="11"/>
        <w:rPr>
          <w:sz w:val="19"/>
        </w:rPr>
      </w:pPr>
    </w:p>
    <w:p>
      <w:pPr>
        <w:spacing w:before="0"/>
        <w:ind w:left="2826" w:right="0" w:firstLine="0"/>
        <w:jc w:val="left"/>
        <w:rPr>
          <w:b/>
          <w:sz w:val="20"/>
        </w:rPr>
      </w:pPr>
      <w:r>
        <w:rPr>
          <w:b/>
          <w:sz w:val="20"/>
          <w:u w:val="single"/>
        </w:rPr>
        <w:t>III.-INFORME</w:t>
      </w:r>
    </w:p>
    <w:p>
      <w:pPr>
        <w:pStyle w:val="BodyText"/>
        <w:rPr>
          <w:b/>
        </w:rPr>
      </w:pPr>
    </w:p>
    <w:p>
      <w:pPr>
        <w:pStyle w:val="BodyText"/>
        <w:spacing w:before="7"/>
        <w:rPr>
          <w:b/>
          <w:sz w:val="16"/>
        </w:rPr>
      </w:pPr>
    </w:p>
    <w:p>
      <w:pPr>
        <w:pStyle w:val="BodyText"/>
        <w:spacing w:before="90"/>
        <w:ind w:left="1419"/>
      </w:pPr>
      <w:r>
        <w:rPr/>
        <w:t>Examinada la documentación que integra el expediente:</w:t>
      </w:r>
    </w:p>
    <w:p>
      <w:pPr>
        <w:pStyle w:val="BodyText"/>
        <w:spacing w:before="3"/>
        <w:rPr>
          <w:sz w:val="24"/>
        </w:rPr>
      </w:pPr>
    </w:p>
    <w:p>
      <w:pPr>
        <w:pStyle w:val="ListParagraph"/>
        <w:numPr>
          <w:ilvl w:val="0"/>
          <w:numId w:val="1"/>
        </w:numPr>
        <w:tabs>
          <w:tab w:pos="1059" w:val="left" w:leader="none"/>
          <w:tab w:pos="1060" w:val="left" w:leader="none"/>
        </w:tabs>
        <w:spacing w:line="245" w:lineRule="exact" w:before="0" w:after="0"/>
        <w:ind w:left="1060" w:right="0" w:hanging="360"/>
        <w:jc w:val="left"/>
        <w:rPr>
          <w:sz w:val="20"/>
        </w:rPr>
      </w:pPr>
      <w:r>
        <w:rPr>
          <w:sz w:val="20"/>
        </w:rPr>
        <w:t>Los estados de Ejecución del Presupuesto de la</w:t>
      </w:r>
      <w:r>
        <w:rPr>
          <w:spacing w:val="-7"/>
          <w:sz w:val="20"/>
        </w:rPr>
        <w:t> </w:t>
      </w:r>
      <w:r>
        <w:rPr>
          <w:sz w:val="20"/>
        </w:rPr>
        <w:t>Corporación</w:t>
      </w:r>
    </w:p>
    <w:p>
      <w:pPr>
        <w:pStyle w:val="ListParagraph"/>
        <w:numPr>
          <w:ilvl w:val="0"/>
          <w:numId w:val="1"/>
        </w:numPr>
        <w:tabs>
          <w:tab w:pos="1059" w:val="left" w:leader="none"/>
          <w:tab w:pos="1060" w:val="left" w:leader="none"/>
        </w:tabs>
        <w:spacing w:line="245" w:lineRule="exact" w:before="0" w:after="0"/>
        <w:ind w:left="1060" w:right="0" w:hanging="360"/>
        <w:jc w:val="left"/>
        <w:rPr>
          <w:sz w:val="20"/>
        </w:rPr>
      </w:pPr>
      <w:r>
        <w:rPr>
          <w:sz w:val="20"/>
        </w:rPr>
        <w:t>Estados Demostrativos de los Derechos a cobrar y obligaciones a pagar procedentes de Presupuestos</w:t>
      </w:r>
      <w:r>
        <w:rPr>
          <w:spacing w:val="-19"/>
          <w:sz w:val="20"/>
        </w:rPr>
        <w:t> </w:t>
      </w:r>
      <w:r>
        <w:rPr>
          <w:sz w:val="20"/>
        </w:rPr>
        <w:t>Cerrados.</w:t>
      </w:r>
    </w:p>
    <w:p>
      <w:pPr>
        <w:pStyle w:val="ListParagraph"/>
        <w:numPr>
          <w:ilvl w:val="0"/>
          <w:numId w:val="1"/>
        </w:numPr>
        <w:tabs>
          <w:tab w:pos="1059" w:val="left" w:leader="none"/>
          <w:tab w:pos="1060" w:val="left" w:leader="none"/>
        </w:tabs>
        <w:spacing w:line="244" w:lineRule="exact" w:before="0" w:after="0"/>
        <w:ind w:left="1060" w:right="0" w:hanging="360"/>
        <w:jc w:val="left"/>
        <w:rPr>
          <w:sz w:val="20"/>
        </w:rPr>
      </w:pPr>
      <w:r>
        <w:rPr>
          <w:sz w:val="20"/>
        </w:rPr>
        <w:t>Liquidación del Presupuesto de</w:t>
      </w:r>
      <w:r>
        <w:rPr>
          <w:spacing w:val="-3"/>
          <w:sz w:val="20"/>
        </w:rPr>
        <w:t> </w:t>
      </w:r>
      <w:r>
        <w:rPr>
          <w:sz w:val="20"/>
        </w:rPr>
        <w:t>Gastos</w:t>
      </w:r>
    </w:p>
    <w:p>
      <w:pPr>
        <w:pStyle w:val="ListParagraph"/>
        <w:numPr>
          <w:ilvl w:val="0"/>
          <w:numId w:val="1"/>
        </w:numPr>
        <w:tabs>
          <w:tab w:pos="1059" w:val="left" w:leader="none"/>
          <w:tab w:pos="1060" w:val="left" w:leader="none"/>
        </w:tabs>
        <w:spacing w:line="244" w:lineRule="exact" w:before="0" w:after="0"/>
        <w:ind w:left="1060" w:right="0" w:hanging="360"/>
        <w:jc w:val="left"/>
        <w:rPr>
          <w:sz w:val="20"/>
        </w:rPr>
      </w:pPr>
      <w:r>
        <w:rPr>
          <w:sz w:val="20"/>
        </w:rPr>
        <w:t>Liquidación del Presupuesto de</w:t>
      </w:r>
      <w:r>
        <w:rPr>
          <w:spacing w:val="-3"/>
          <w:sz w:val="20"/>
        </w:rPr>
        <w:t> </w:t>
      </w:r>
      <w:r>
        <w:rPr>
          <w:sz w:val="20"/>
        </w:rPr>
        <w:t>Ingresos</w:t>
      </w:r>
    </w:p>
    <w:p>
      <w:pPr>
        <w:pStyle w:val="ListParagraph"/>
        <w:numPr>
          <w:ilvl w:val="0"/>
          <w:numId w:val="1"/>
        </w:numPr>
        <w:tabs>
          <w:tab w:pos="1059" w:val="left" w:leader="none"/>
          <w:tab w:pos="1060" w:val="left" w:leader="none"/>
        </w:tabs>
        <w:spacing w:line="245" w:lineRule="exact" w:before="0" w:after="0"/>
        <w:ind w:left="1060" w:right="0" w:hanging="360"/>
        <w:jc w:val="left"/>
        <w:rPr>
          <w:sz w:val="20"/>
        </w:rPr>
      </w:pPr>
      <w:r>
        <w:rPr>
          <w:sz w:val="20"/>
        </w:rPr>
        <w:t>Resultado Presupuestario</w:t>
      </w:r>
    </w:p>
    <w:p>
      <w:pPr>
        <w:pStyle w:val="ListParagraph"/>
        <w:numPr>
          <w:ilvl w:val="0"/>
          <w:numId w:val="1"/>
        </w:numPr>
        <w:tabs>
          <w:tab w:pos="1059" w:val="left" w:leader="none"/>
          <w:tab w:pos="1060" w:val="left" w:leader="none"/>
        </w:tabs>
        <w:spacing w:line="240" w:lineRule="auto" w:before="0" w:after="0"/>
        <w:ind w:left="1060" w:right="0" w:hanging="360"/>
        <w:jc w:val="left"/>
        <w:rPr>
          <w:sz w:val="20"/>
        </w:rPr>
      </w:pPr>
      <w:r>
        <w:rPr>
          <w:sz w:val="20"/>
        </w:rPr>
        <w:t>Remanente de</w:t>
      </w:r>
      <w:r>
        <w:rPr>
          <w:spacing w:val="-1"/>
          <w:sz w:val="20"/>
        </w:rPr>
        <w:t> </w:t>
      </w:r>
      <w:r>
        <w:rPr>
          <w:sz w:val="20"/>
        </w:rPr>
        <w:t>Tesorería</w:t>
      </w:r>
    </w:p>
    <w:p>
      <w:pPr>
        <w:pStyle w:val="BodyText"/>
        <w:spacing w:before="5"/>
        <w:rPr>
          <w:sz w:val="24"/>
        </w:rPr>
      </w:pPr>
    </w:p>
    <w:p>
      <w:pPr>
        <w:spacing w:line="614" w:lineRule="auto" w:before="0"/>
        <w:ind w:left="1400" w:right="6897" w:firstLine="19"/>
        <w:jc w:val="left"/>
        <w:rPr>
          <w:b/>
          <w:i/>
          <w:sz w:val="20"/>
        </w:rPr>
      </w:pPr>
      <w:r>
        <w:rPr>
          <w:sz w:val="20"/>
        </w:rPr>
        <w:t>Esta Intervención tiene a bien informar: 1º.- </w:t>
      </w:r>
      <w:r>
        <w:rPr>
          <w:b/>
          <w:i/>
          <w:sz w:val="20"/>
          <w:u w:val="single"/>
        </w:rPr>
        <w:t>RESULTADO PRESUPUESTARIO:</w:t>
      </w:r>
    </w:p>
    <w:p>
      <w:pPr>
        <w:spacing w:after="0" w:line="614" w:lineRule="auto"/>
        <w:jc w:val="left"/>
        <w:rPr>
          <w:sz w:val="20"/>
        </w:rPr>
        <w:sectPr>
          <w:pgSz w:w="11900" w:h="16840"/>
          <w:pgMar w:header="698" w:footer="0" w:top="1920" w:bottom="280" w:left="200" w:right="0"/>
        </w:sectPr>
      </w:pPr>
    </w:p>
    <w:p>
      <w:pPr>
        <w:pStyle w:val="BodyText"/>
        <w:rPr>
          <w:b/>
          <w:i/>
        </w:rPr>
      </w:pPr>
      <w:r>
        <w:rPr/>
        <w:pict>
          <v:line style="position:absolute;mso-position-horizontal-relative:page;mso-position-vertical-relative:page;z-index:251662336" from="24.35pt,397.980007pt" to="24.35pt,240.570007pt" stroked="true" strokeweight=".53333pt" strokecolor="#0000ff">
            <v:stroke dashstyle="solid"/>
            <w10:wrap type="none"/>
          </v:line>
        </w:pic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
        <w:rPr>
          <w:b/>
          <w:i/>
          <w:sz w:val="17"/>
        </w:rPr>
      </w:pPr>
    </w:p>
    <w:p>
      <w:pPr>
        <w:pStyle w:val="BodyText"/>
        <w:ind w:left="1452"/>
      </w:pPr>
      <w:r>
        <w:rPr/>
        <w:drawing>
          <wp:inline distT="0" distB="0" distL="0" distR="0">
            <wp:extent cx="5856327" cy="4456557"/>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856327" cy="4456557"/>
                    </a:xfrm>
                    <a:prstGeom prst="rect">
                      <a:avLst/>
                    </a:prstGeom>
                  </pic:spPr>
                </pic:pic>
              </a:graphicData>
            </a:graphic>
          </wp:inline>
        </w:drawing>
      </w:r>
      <w:r>
        <w:rPr/>
      </w:r>
    </w:p>
    <w:p>
      <w:pPr>
        <w:pStyle w:val="BodyText"/>
        <w:rPr>
          <w:b/>
          <w:i/>
        </w:rPr>
      </w:pPr>
    </w:p>
    <w:p>
      <w:pPr>
        <w:pStyle w:val="BodyText"/>
        <w:spacing w:before="3"/>
        <w:rPr>
          <w:b/>
          <w:i/>
          <w:sz w:val="22"/>
        </w:rPr>
      </w:pPr>
    </w:p>
    <w:p>
      <w:pPr>
        <w:pStyle w:val="BodyText"/>
        <w:ind w:left="700" w:right="2059" w:firstLine="708"/>
      </w:pPr>
      <w:r>
        <w:rPr/>
        <w:pict>
          <v:shape style="position:absolute;margin-left:.597812pt;margin-top:-432.659515pt;width:23.8pt;height:582.2pt;mso-position-horizontal-relative:page;mso-position-vertical-relative:paragraph;z-index:-25275801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15711470763626204765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r>
        <w:rPr/>
        <w:t>Indicar que en lo que se refiere al presente ejercicio nos encontramos con desviaciones de financiación positivas correspondientes a:</w:t>
      </w:r>
    </w:p>
    <w:p>
      <w:pPr>
        <w:pStyle w:val="BodyText"/>
        <w:spacing w:before="7" w:after="1"/>
        <w:rPr>
          <w:sz w:val="10"/>
        </w:rPr>
      </w:pPr>
    </w:p>
    <w:tbl>
      <w:tblPr>
        <w:tblW w:w="0" w:type="auto"/>
        <w:jc w:val="left"/>
        <w:tblInd w:w="7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299"/>
        <w:gridCol w:w="1103"/>
      </w:tblGrid>
      <w:tr>
        <w:trPr>
          <w:trHeight w:val="726" w:hRule="atLeast"/>
        </w:trPr>
        <w:tc>
          <w:tcPr>
            <w:tcW w:w="6299" w:type="dxa"/>
            <w:tcBorders>
              <w:bottom w:val="double" w:sz="2" w:space="0" w:color="000000"/>
              <w:right w:val="double" w:sz="2" w:space="0" w:color="000000"/>
            </w:tcBorders>
          </w:tcPr>
          <w:p>
            <w:pPr>
              <w:pStyle w:val="TableParagraph"/>
              <w:spacing w:before="139"/>
              <w:ind w:left="14"/>
              <w:rPr>
                <w:rFonts w:ascii="Times New Roman"/>
                <w:sz w:val="20"/>
              </w:rPr>
            </w:pPr>
            <w:r>
              <w:rPr>
                <w:rFonts w:ascii="Times New Roman"/>
                <w:sz w:val="20"/>
              </w:rPr>
              <w:t>Subvencion para ayudas economicas para situaciones de emergencia social 24</w:t>
            </w:r>
          </w:p>
        </w:tc>
        <w:tc>
          <w:tcPr>
            <w:tcW w:w="1103" w:type="dxa"/>
            <w:tcBorders>
              <w:left w:val="double" w:sz="2" w:space="0" w:color="000000"/>
              <w:bottom w:val="double" w:sz="2" w:space="0" w:color="000000"/>
            </w:tcBorders>
          </w:tcPr>
          <w:p>
            <w:pPr>
              <w:pStyle w:val="TableParagraph"/>
              <w:spacing w:before="139"/>
              <w:ind w:left="7"/>
              <w:rPr>
                <w:rFonts w:ascii="Times New Roman"/>
                <w:sz w:val="20"/>
              </w:rPr>
            </w:pPr>
            <w:r>
              <w:rPr>
                <w:rFonts w:ascii="Times New Roman"/>
                <w:sz w:val="20"/>
              </w:rPr>
              <w:t>51.817,00</w:t>
            </w:r>
          </w:p>
        </w:tc>
      </w:tr>
      <w:tr>
        <w:trPr>
          <w:trHeight w:val="595" w:hRule="atLeast"/>
        </w:trPr>
        <w:tc>
          <w:tcPr>
            <w:tcW w:w="6299" w:type="dxa"/>
            <w:tcBorders>
              <w:top w:val="double" w:sz="2" w:space="0" w:color="000000"/>
              <w:bottom w:val="double" w:sz="2" w:space="0" w:color="000000"/>
              <w:right w:val="double" w:sz="2" w:space="0" w:color="000000"/>
            </w:tcBorders>
          </w:tcPr>
          <w:p>
            <w:pPr>
              <w:pStyle w:val="TableParagraph"/>
              <w:spacing w:before="6"/>
              <w:ind w:left="14"/>
              <w:rPr>
                <w:rFonts w:ascii="Times New Roman"/>
                <w:sz w:val="20"/>
              </w:rPr>
            </w:pPr>
            <w:r>
              <w:rPr>
                <w:rFonts w:ascii="Times New Roman"/>
                <w:sz w:val="20"/>
              </w:rPr>
              <w:t>PFAE 24/25</w:t>
            </w:r>
          </w:p>
        </w:tc>
        <w:tc>
          <w:tcPr>
            <w:tcW w:w="1103" w:type="dxa"/>
            <w:tcBorders>
              <w:top w:val="double" w:sz="2" w:space="0" w:color="000000"/>
              <w:left w:val="double" w:sz="2" w:space="0" w:color="000000"/>
              <w:bottom w:val="double" w:sz="2" w:space="0" w:color="000000"/>
            </w:tcBorders>
          </w:tcPr>
          <w:p>
            <w:pPr>
              <w:pStyle w:val="TableParagraph"/>
              <w:spacing w:before="6"/>
              <w:ind w:left="7"/>
              <w:rPr>
                <w:rFonts w:ascii="Times New Roman"/>
                <w:sz w:val="20"/>
              </w:rPr>
            </w:pPr>
            <w:r>
              <w:rPr>
                <w:rFonts w:ascii="Times New Roman"/>
                <w:sz w:val="20"/>
              </w:rPr>
              <w:t>0,00</w:t>
            </w:r>
          </w:p>
        </w:tc>
      </w:tr>
      <w:tr>
        <w:trPr>
          <w:trHeight w:val="593" w:hRule="atLeast"/>
        </w:trPr>
        <w:tc>
          <w:tcPr>
            <w:tcW w:w="6299" w:type="dxa"/>
            <w:tcBorders>
              <w:top w:val="double" w:sz="2" w:space="0" w:color="000000"/>
              <w:bottom w:val="double" w:sz="2" w:space="0" w:color="000000"/>
              <w:right w:val="double" w:sz="2" w:space="0" w:color="000000"/>
            </w:tcBorders>
          </w:tcPr>
          <w:p>
            <w:pPr>
              <w:pStyle w:val="TableParagraph"/>
              <w:spacing w:before="6"/>
              <w:ind w:left="14"/>
              <w:rPr>
                <w:rFonts w:ascii="Times New Roman"/>
                <w:sz w:val="20"/>
              </w:rPr>
            </w:pPr>
            <w:r>
              <w:rPr>
                <w:rFonts w:ascii="Times New Roman"/>
                <w:sz w:val="20"/>
              </w:rPr>
              <w:t>PFAE 25/26</w:t>
            </w:r>
          </w:p>
        </w:tc>
        <w:tc>
          <w:tcPr>
            <w:tcW w:w="1103" w:type="dxa"/>
            <w:tcBorders>
              <w:top w:val="double" w:sz="2" w:space="0" w:color="000000"/>
              <w:left w:val="double" w:sz="2" w:space="0" w:color="000000"/>
              <w:bottom w:val="double" w:sz="2" w:space="0" w:color="000000"/>
            </w:tcBorders>
          </w:tcPr>
          <w:p>
            <w:pPr>
              <w:pStyle w:val="TableParagraph"/>
              <w:spacing w:before="6"/>
              <w:ind w:left="7"/>
              <w:rPr>
                <w:rFonts w:ascii="Times New Roman"/>
                <w:sz w:val="20"/>
              </w:rPr>
            </w:pPr>
            <w:r>
              <w:rPr>
                <w:rFonts w:ascii="Times New Roman"/>
                <w:sz w:val="20"/>
              </w:rPr>
              <w:t>1.070.091,00</w:t>
            </w:r>
          </w:p>
        </w:tc>
      </w:tr>
      <w:tr>
        <w:trPr>
          <w:trHeight w:val="595" w:hRule="atLeast"/>
        </w:trPr>
        <w:tc>
          <w:tcPr>
            <w:tcW w:w="6299" w:type="dxa"/>
            <w:tcBorders>
              <w:top w:val="double" w:sz="2" w:space="0" w:color="000000"/>
              <w:bottom w:val="double" w:sz="2" w:space="0" w:color="000000"/>
              <w:right w:val="double" w:sz="2" w:space="0" w:color="000000"/>
            </w:tcBorders>
          </w:tcPr>
          <w:p>
            <w:pPr>
              <w:pStyle w:val="TableParagraph"/>
              <w:spacing w:before="9"/>
              <w:ind w:left="14"/>
              <w:rPr>
                <w:rFonts w:ascii="Times New Roman"/>
                <w:sz w:val="20"/>
              </w:rPr>
            </w:pPr>
            <w:r>
              <w:rPr>
                <w:rFonts w:ascii="Times New Roman"/>
                <w:sz w:val="20"/>
              </w:rPr>
              <w:t>Subvencion de CCAA para proyecto conecta tias. MC 29-24</w:t>
            </w:r>
          </w:p>
        </w:tc>
        <w:tc>
          <w:tcPr>
            <w:tcW w:w="1103" w:type="dxa"/>
            <w:tcBorders>
              <w:top w:val="double" w:sz="2" w:space="0" w:color="000000"/>
              <w:left w:val="double" w:sz="2" w:space="0" w:color="000000"/>
              <w:bottom w:val="double" w:sz="2" w:space="0" w:color="000000"/>
            </w:tcBorders>
          </w:tcPr>
          <w:p>
            <w:pPr>
              <w:pStyle w:val="TableParagraph"/>
              <w:spacing w:before="9"/>
              <w:ind w:left="7"/>
              <w:rPr>
                <w:rFonts w:ascii="Times New Roman"/>
                <w:sz w:val="20"/>
              </w:rPr>
            </w:pPr>
            <w:r>
              <w:rPr>
                <w:rFonts w:ascii="Times New Roman"/>
                <w:sz w:val="20"/>
              </w:rPr>
              <w:t>100.000,00</w:t>
            </w:r>
          </w:p>
        </w:tc>
      </w:tr>
      <w:tr>
        <w:trPr>
          <w:trHeight w:val="601" w:hRule="atLeast"/>
        </w:trPr>
        <w:tc>
          <w:tcPr>
            <w:tcW w:w="6299" w:type="dxa"/>
            <w:tcBorders>
              <w:top w:val="double" w:sz="2" w:space="0" w:color="000000"/>
              <w:right w:val="double" w:sz="2" w:space="0" w:color="000000"/>
            </w:tcBorders>
          </w:tcPr>
          <w:p>
            <w:pPr>
              <w:pStyle w:val="TableParagraph"/>
              <w:spacing w:before="6"/>
              <w:ind w:left="14"/>
              <w:rPr>
                <w:rFonts w:ascii="Times New Roman"/>
                <w:sz w:val="20"/>
              </w:rPr>
            </w:pPr>
            <w:r>
              <w:rPr>
                <w:rFonts w:ascii="Times New Roman"/>
                <w:sz w:val="20"/>
              </w:rPr>
              <w:t>PLAN ACCESIBILIDAD CARRIL BICI</w:t>
            </w:r>
          </w:p>
        </w:tc>
        <w:tc>
          <w:tcPr>
            <w:tcW w:w="1103" w:type="dxa"/>
            <w:tcBorders>
              <w:top w:val="double" w:sz="2" w:space="0" w:color="000000"/>
              <w:left w:val="double" w:sz="2" w:space="0" w:color="000000"/>
            </w:tcBorders>
          </w:tcPr>
          <w:p>
            <w:pPr>
              <w:pStyle w:val="TableParagraph"/>
              <w:spacing w:before="6"/>
              <w:ind w:left="7"/>
              <w:rPr>
                <w:rFonts w:ascii="Times New Roman"/>
                <w:sz w:val="20"/>
              </w:rPr>
            </w:pPr>
            <w:r>
              <w:rPr>
                <w:rFonts w:ascii="Times New Roman"/>
                <w:sz w:val="20"/>
              </w:rPr>
              <w:t>992921</w:t>
            </w:r>
          </w:p>
        </w:tc>
      </w:tr>
    </w:tbl>
    <w:p>
      <w:pPr>
        <w:spacing w:after="0"/>
        <w:rPr>
          <w:rFonts w:ascii="Times New Roman"/>
          <w:sz w:val="20"/>
        </w:rPr>
        <w:sectPr>
          <w:pgSz w:w="11900" w:h="16840"/>
          <w:pgMar w:header="698" w:footer="0" w:top="1920" w:bottom="280" w:left="20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24"/>
        </w:rPr>
      </w:pPr>
    </w:p>
    <w:tbl>
      <w:tblPr>
        <w:tblW w:w="0" w:type="auto"/>
        <w:jc w:val="left"/>
        <w:tblInd w:w="7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299"/>
        <w:gridCol w:w="1103"/>
      </w:tblGrid>
      <w:tr>
        <w:trPr>
          <w:trHeight w:val="601" w:hRule="atLeast"/>
        </w:trPr>
        <w:tc>
          <w:tcPr>
            <w:tcW w:w="6299" w:type="dxa"/>
            <w:tcBorders>
              <w:bottom w:val="double" w:sz="2" w:space="0" w:color="000000"/>
              <w:right w:val="double" w:sz="2" w:space="0" w:color="000000"/>
            </w:tcBorders>
          </w:tcPr>
          <w:p>
            <w:pPr>
              <w:pStyle w:val="TableParagraph"/>
              <w:spacing w:before="14"/>
              <w:ind w:left="14"/>
              <w:rPr>
                <w:rFonts w:ascii="Times New Roman"/>
                <w:sz w:val="20"/>
              </w:rPr>
            </w:pPr>
            <w:r>
              <w:rPr>
                <w:rFonts w:ascii="Times New Roman"/>
                <w:sz w:val="20"/>
              </w:rPr>
              <w:t>TIAS EVITANDO DESAHUCIO</w:t>
            </w:r>
          </w:p>
        </w:tc>
        <w:tc>
          <w:tcPr>
            <w:tcW w:w="1103" w:type="dxa"/>
            <w:tcBorders>
              <w:left w:val="double" w:sz="2" w:space="0" w:color="000000"/>
              <w:bottom w:val="double" w:sz="2" w:space="0" w:color="000000"/>
            </w:tcBorders>
          </w:tcPr>
          <w:p>
            <w:pPr>
              <w:pStyle w:val="TableParagraph"/>
              <w:spacing w:before="14"/>
              <w:ind w:left="7"/>
              <w:rPr>
                <w:rFonts w:ascii="Times New Roman"/>
                <w:sz w:val="20"/>
              </w:rPr>
            </w:pPr>
            <w:r>
              <w:rPr>
                <w:rFonts w:ascii="Times New Roman"/>
                <w:sz w:val="20"/>
              </w:rPr>
              <w:t>100000</w:t>
            </w:r>
          </w:p>
        </w:tc>
      </w:tr>
      <w:tr>
        <w:trPr>
          <w:trHeight w:val="595" w:hRule="atLeast"/>
        </w:trPr>
        <w:tc>
          <w:tcPr>
            <w:tcW w:w="6299" w:type="dxa"/>
            <w:tcBorders>
              <w:top w:val="double" w:sz="2" w:space="0" w:color="000000"/>
              <w:bottom w:val="double" w:sz="2" w:space="0" w:color="000000"/>
              <w:right w:val="double" w:sz="2" w:space="0" w:color="000000"/>
            </w:tcBorders>
          </w:tcPr>
          <w:p>
            <w:pPr>
              <w:pStyle w:val="TableParagraph"/>
              <w:spacing w:before="9"/>
              <w:ind w:left="14"/>
              <w:rPr>
                <w:rFonts w:ascii="Times New Roman"/>
                <w:sz w:val="20"/>
              </w:rPr>
            </w:pPr>
            <w:r>
              <w:rPr>
                <w:rFonts w:ascii="Times New Roman"/>
                <w:sz w:val="20"/>
              </w:rPr>
              <w:t>OFICINA AGROECOLOGICA</w:t>
            </w:r>
          </w:p>
        </w:tc>
        <w:tc>
          <w:tcPr>
            <w:tcW w:w="1103" w:type="dxa"/>
            <w:tcBorders>
              <w:top w:val="double" w:sz="2" w:space="0" w:color="000000"/>
              <w:left w:val="double" w:sz="2" w:space="0" w:color="000000"/>
              <w:bottom w:val="double" w:sz="2" w:space="0" w:color="000000"/>
            </w:tcBorders>
          </w:tcPr>
          <w:p>
            <w:pPr>
              <w:pStyle w:val="TableParagraph"/>
              <w:spacing w:before="9"/>
              <w:ind w:left="7"/>
              <w:rPr>
                <w:rFonts w:ascii="Times New Roman"/>
                <w:sz w:val="20"/>
              </w:rPr>
            </w:pPr>
            <w:r>
              <w:rPr>
                <w:rFonts w:ascii="Times New Roman"/>
                <w:sz w:val="20"/>
              </w:rPr>
              <w:t>40000</w:t>
            </w:r>
          </w:p>
        </w:tc>
      </w:tr>
      <w:tr>
        <w:trPr>
          <w:trHeight w:val="593" w:hRule="atLeast"/>
        </w:trPr>
        <w:tc>
          <w:tcPr>
            <w:tcW w:w="6299" w:type="dxa"/>
            <w:tcBorders>
              <w:top w:val="double" w:sz="2" w:space="0" w:color="000000"/>
              <w:bottom w:val="double" w:sz="2" w:space="0" w:color="000000"/>
              <w:right w:val="double" w:sz="2" w:space="0" w:color="000000"/>
            </w:tcBorders>
          </w:tcPr>
          <w:p>
            <w:pPr>
              <w:pStyle w:val="TableParagraph"/>
              <w:spacing w:before="6"/>
              <w:ind w:left="14"/>
              <w:rPr>
                <w:rFonts w:ascii="Times New Roman"/>
                <w:sz w:val="20"/>
              </w:rPr>
            </w:pPr>
            <w:r>
              <w:rPr>
                <w:rFonts w:ascii="Times New Roman"/>
                <w:sz w:val="20"/>
              </w:rPr>
              <w:t>HUERTO ECOLOGICO</w:t>
            </w:r>
          </w:p>
        </w:tc>
        <w:tc>
          <w:tcPr>
            <w:tcW w:w="1103" w:type="dxa"/>
            <w:tcBorders>
              <w:top w:val="double" w:sz="2" w:space="0" w:color="000000"/>
              <w:left w:val="double" w:sz="2" w:space="0" w:color="000000"/>
              <w:bottom w:val="double" w:sz="2" w:space="0" w:color="000000"/>
            </w:tcBorders>
          </w:tcPr>
          <w:p>
            <w:pPr>
              <w:pStyle w:val="TableParagraph"/>
              <w:spacing w:before="6"/>
              <w:ind w:left="7"/>
              <w:rPr>
                <w:rFonts w:ascii="Times New Roman"/>
                <w:sz w:val="20"/>
              </w:rPr>
            </w:pPr>
            <w:r>
              <w:rPr>
                <w:rFonts w:ascii="Times New Roman"/>
                <w:sz w:val="20"/>
              </w:rPr>
              <w:t>15000</w:t>
            </w:r>
          </w:p>
        </w:tc>
      </w:tr>
      <w:tr>
        <w:trPr>
          <w:trHeight w:val="595" w:hRule="atLeast"/>
        </w:trPr>
        <w:tc>
          <w:tcPr>
            <w:tcW w:w="6299" w:type="dxa"/>
            <w:tcBorders>
              <w:top w:val="double" w:sz="2" w:space="0" w:color="000000"/>
              <w:bottom w:val="double" w:sz="2" w:space="0" w:color="000000"/>
              <w:right w:val="double" w:sz="2" w:space="0" w:color="000000"/>
            </w:tcBorders>
          </w:tcPr>
          <w:p>
            <w:pPr>
              <w:pStyle w:val="TableParagraph"/>
              <w:spacing w:before="9"/>
              <w:ind w:left="14"/>
              <w:rPr>
                <w:rFonts w:ascii="Times New Roman" w:hAnsi="Times New Roman"/>
                <w:sz w:val="20"/>
              </w:rPr>
            </w:pPr>
            <w:r>
              <w:rPr>
                <w:rFonts w:ascii="Times New Roman" w:hAnsi="Times New Roman"/>
                <w:sz w:val="20"/>
              </w:rPr>
              <w:t>conservación entorno natural municipal 24-25</w:t>
            </w:r>
          </w:p>
        </w:tc>
        <w:tc>
          <w:tcPr>
            <w:tcW w:w="1103" w:type="dxa"/>
            <w:tcBorders>
              <w:top w:val="double" w:sz="2" w:space="0" w:color="000000"/>
              <w:left w:val="double" w:sz="2" w:space="0" w:color="000000"/>
              <w:bottom w:val="double" w:sz="2" w:space="0" w:color="000000"/>
            </w:tcBorders>
          </w:tcPr>
          <w:p>
            <w:pPr>
              <w:pStyle w:val="TableParagraph"/>
              <w:spacing w:before="9"/>
              <w:ind w:left="7"/>
              <w:rPr>
                <w:rFonts w:ascii="Times New Roman"/>
                <w:sz w:val="20"/>
              </w:rPr>
            </w:pPr>
            <w:r>
              <w:rPr>
                <w:rFonts w:ascii="Times New Roman"/>
                <w:sz w:val="20"/>
              </w:rPr>
              <w:t>165805</w:t>
            </w:r>
          </w:p>
        </w:tc>
      </w:tr>
      <w:tr>
        <w:trPr>
          <w:trHeight w:val="595" w:hRule="atLeast"/>
        </w:trPr>
        <w:tc>
          <w:tcPr>
            <w:tcW w:w="6299" w:type="dxa"/>
            <w:tcBorders>
              <w:top w:val="double" w:sz="2" w:space="0" w:color="000000"/>
              <w:bottom w:val="double" w:sz="2" w:space="0" w:color="000000"/>
              <w:right w:val="double" w:sz="2" w:space="0" w:color="000000"/>
            </w:tcBorders>
          </w:tcPr>
          <w:p>
            <w:pPr>
              <w:pStyle w:val="TableParagraph"/>
              <w:spacing w:before="9"/>
              <w:ind w:left="14"/>
              <w:rPr>
                <w:rFonts w:ascii="Times New Roman"/>
                <w:sz w:val="20"/>
              </w:rPr>
            </w:pPr>
            <w:r>
              <w:rPr>
                <w:rFonts w:ascii="Times New Roman"/>
                <w:sz w:val="20"/>
              </w:rPr>
              <w:t>material deportivo</w:t>
            </w:r>
          </w:p>
        </w:tc>
        <w:tc>
          <w:tcPr>
            <w:tcW w:w="1103" w:type="dxa"/>
            <w:tcBorders>
              <w:top w:val="double" w:sz="2" w:space="0" w:color="000000"/>
              <w:left w:val="double" w:sz="2" w:space="0" w:color="000000"/>
              <w:bottom w:val="double" w:sz="2" w:space="0" w:color="000000"/>
            </w:tcBorders>
          </w:tcPr>
          <w:p>
            <w:pPr>
              <w:pStyle w:val="TableParagraph"/>
              <w:spacing w:before="9"/>
              <w:ind w:left="7"/>
              <w:rPr>
                <w:rFonts w:ascii="Times New Roman"/>
                <w:sz w:val="20"/>
              </w:rPr>
            </w:pPr>
            <w:r>
              <w:rPr>
                <w:rFonts w:ascii="Times New Roman"/>
                <w:sz w:val="20"/>
              </w:rPr>
              <w:t>52000</w:t>
            </w:r>
          </w:p>
        </w:tc>
      </w:tr>
      <w:tr>
        <w:trPr>
          <w:trHeight w:val="593" w:hRule="atLeast"/>
        </w:trPr>
        <w:tc>
          <w:tcPr>
            <w:tcW w:w="6299" w:type="dxa"/>
            <w:tcBorders>
              <w:top w:val="double" w:sz="2" w:space="0" w:color="000000"/>
              <w:bottom w:val="double" w:sz="2" w:space="0" w:color="000000"/>
              <w:right w:val="double" w:sz="2" w:space="0" w:color="000000"/>
            </w:tcBorders>
          </w:tcPr>
          <w:p>
            <w:pPr>
              <w:pStyle w:val="TableParagraph"/>
              <w:spacing w:before="6"/>
              <w:ind w:left="14"/>
              <w:rPr>
                <w:rFonts w:ascii="Times New Roman"/>
                <w:sz w:val="20"/>
              </w:rPr>
            </w:pPr>
            <w:r>
              <w:rPr>
                <w:rFonts w:ascii="Times New Roman"/>
                <w:sz w:val="20"/>
              </w:rPr>
              <w:t>fondos UE</w:t>
            </w:r>
          </w:p>
        </w:tc>
        <w:tc>
          <w:tcPr>
            <w:tcW w:w="1103" w:type="dxa"/>
            <w:tcBorders>
              <w:top w:val="double" w:sz="2" w:space="0" w:color="000000"/>
              <w:left w:val="double" w:sz="2" w:space="0" w:color="000000"/>
              <w:bottom w:val="double" w:sz="2" w:space="0" w:color="000000"/>
            </w:tcBorders>
          </w:tcPr>
          <w:p>
            <w:pPr>
              <w:pStyle w:val="TableParagraph"/>
              <w:spacing w:before="6"/>
              <w:ind w:left="7"/>
              <w:rPr>
                <w:rFonts w:ascii="Times New Roman"/>
                <w:sz w:val="20"/>
              </w:rPr>
            </w:pPr>
            <w:r>
              <w:rPr>
                <w:rFonts w:ascii="Times New Roman"/>
                <w:sz w:val="20"/>
              </w:rPr>
              <w:t>1228169,26</w:t>
            </w:r>
          </w:p>
        </w:tc>
      </w:tr>
      <w:tr>
        <w:trPr>
          <w:trHeight w:val="595" w:hRule="atLeast"/>
        </w:trPr>
        <w:tc>
          <w:tcPr>
            <w:tcW w:w="6299" w:type="dxa"/>
            <w:tcBorders>
              <w:top w:val="double" w:sz="2" w:space="0" w:color="000000"/>
              <w:bottom w:val="double" w:sz="2" w:space="0" w:color="000000"/>
              <w:right w:val="double" w:sz="2" w:space="0" w:color="000000"/>
            </w:tcBorders>
          </w:tcPr>
          <w:p>
            <w:pPr>
              <w:pStyle w:val="TableParagraph"/>
              <w:spacing w:before="9"/>
              <w:ind w:left="14"/>
              <w:rPr>
                <w:rFonts w:ascii="Times New Roman"/>
                <w:sz w:val="20"/>
              </w:rPr>
            </w:pPr>
            <w:r>
              <w:rPr>
                <w:rFonts w:ascii="Times New Roman"/>
                <w:sz w:val="20"/>
              </w:rPr>
              <w:t>Subvencion parque lirios</w:t>
            </w:r>
          </w:p>
        </w:tc>
        <w:tc>
          <w:tcPr>
            <w:tcW w:w="1103" w:type="dxa"/>
            <w:tcBorders>
              <w:top w:val="double" w:sz="2" w:space="0" w:color="000000"/>
              <w:left w:val="double" w:sz="2" w:space="0" w:color="000000"/>
              <w:bottom w:val="double" w:sz="2" w:space="0" w:color="000000"/>
            </w:tcBorders>
          </w:tcPr>
          <w:p>
            <w:pPr>
              <w:pStyle w:val="TableParagraph"/>
              <w:spacing w:before="9"/>
              <w:ind w:left="7"/>
              <w:rPr>
                <w:rFonts w:ascii="Times New Roman"/>
                <w:sz w:val="20"/>
              </w:rPr>
            </w:pPr>
            <w:r>
              <w:rPr>
                <w:rFonts w:ascii="Times New Roman"/>
                <w:sz w:val="20"/>
              </w:rPr>
              <w:t>850529,8</w:t>
            </w:r>
          </w:p>
        </w:tc>
      </w:tr>
      <w:tr>
        <w:trPr>
          <w:trHeight w:val="286" w:hRule="atLeast"/>
        </w:trPr>
        <w:tc>
          <w:tcPr>
            <w:tcW w:w="6299" w:type="dxa"/>
            <w:tcBorders>
              <w:top w:val="double" w:sz="2" w:space="0" w:color="000000"/>
              <w:bottom w:val="double" w:sz="2" w:space="0" w:color="000000"/>
              <w:right w:val="double" w:sz="2" w:space="0" w:color="000000"/>
            </w:tcBorders>
          </w:tcPr>
          <w:p>
            <w:pPr>
              <w:pStyle w:val="TableParagraph"/>
              <w:spacing w:before="0"/>
              <w:rPr>
                <w:rFonts w:ascii="Times New Roman"/>
                <w:sz w:val="18"/>
              </w:rPr>
            </w:pPr>
          </w:p>
        </w:tc>
        <w:tc>
          <w:tcPr>
            <w:tcW w:w="1103" w:type="dxa"/>
            <w:tcBorders>
              <w:top w:val="double" w:sz="2" w:space="0" w:color="000000"/>
              <w:left w:val="double" w:sz="2" w:space="0" w:color="000000"/>
              <w:bottom w:val="double" w:sz="2" w:space="0" w:color="000000"/>
            </w:tcBorders>
          </w:tcPr>
          <w:p>
            <w:pPr>
              <w:pStyle w:val="TableParagraph"/>
              <w:spacing w:before="0"/>
              <w:rPr>
                <w:rFonts w:ascii="Times New Roman"/>
                <w:sz w:val="18"/>
              </w:rPr>
            </w:pPr>
          </w:p>
        </w:tc>
      </w:tr>
      <w:tr>
        <w:trPr>
          <w:trHeight w:val="598" w:hRule="atLeast"/>
        </w:trPr>
        <w:tc>
          <w:tcPr>
            <w:tcW w:w="6299" w:type="dxa"/>
            <w:tcBorders>
              <w:top w:val="double" w:sz="2" w:space="0" w:color="000000"/>
              <w:right w:val="double" w:sz="2" w:space="0" w:color="000000"/>
            </w:tcBorders>
          </w:tcPr>
          <w:p>
            <w:pPr>
              <w:pStyle w:val="TableParagraph"/>
              <w:spacing w:before="0"/>
              <w:rPr>
                <w:rFonts w:ascii="Times New Roman"/>
                <w:sz w:val="18"/>
              </w:rPr>
            </w:pPr>
          </w:p>
        </w:tc>
        <w:tc>
          <w:tcPr>
            <w:tcW w:w="1103" w:type="dxa"/>
            <w:tcBorders>
              <w:top w:val="double" w:sz="2" w:space="0" w:color="000000"/>
              <w:left w:val="double" w:sz="2" w:space="0" w:color="000000"/>
            </w:tcBorders>
            <w:shd w:val="clear" w:color="auto" w:fill="FFFF00"/>
          </w:tcPr>
          <w:p>
            <w:pPr>
              <w:pStyle w:val="TableParagraph"/>
              <w:spacing w:before="6"/>
              <w:ind w:left="7"/>
              <w:rPr>
                <w:rFonts w:ascii="Times New Roman"/>
                <w:sz w:val="20"/>
              </w:rPr>
            </w:pPr>
            <w:r>
              <w:rPr>
                <w:rFonts w:ascii="Times New Roman"/>
                <w:sz w:val="20"/>
              </w:rPr>
              <w:t>5001429,38</w:t>
            </w:r>
          </w:p>
        </w:tc>
      </w:tr>
    </w:tbl>
    <w:p>
      <w:pPr>
        <w:pStyle w:val="BodyText"/>
        <w:spacing w:before="9"/>
        <w:rPr>
          <w:sz w:val="22"/>
        </w:rPr>
      </w:pPr>
    </w:p>
    <w:p>
      <w:pPr>
        <w:pStyle w:val="BodyText"/>
        <w:spacing w:before="91"/>
        <w:ind w:left="699" w:right="1803" w:firstLine="708"/>
      </w:pPr>
      <w:r>
        <w:rPr/>
        <w:pict>
          <v:line style="position:absolute;mso-position-horizontal-relative:page;mso-position-vertical-relative:paragraph;z-index:251665408" from="24.35pt,-67.174198pt" to="24.35pt,-224.584198pt" stroked="true" strokeweight=".53333pt" strokecolor="#0000ff">
            <v:stroke dashstyle="solid"/>
            <w10:wrap type="none"/>
          </v:line>
        </w:pict>
      </w:r>
      <w:r>
        <w:rPr/>
        <w:pict>
          <v:shape style="position:absolute;margin-left:.597812pt;margin-top:-335.349548pt;width:23.8pt;height:582.2pt;mso-position-horizontal-relative:page;mso-position-vertical-relative:paragraph;z-index:-25275494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15711470763626204765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r>
        <w:rPr/>
        <w:t>Por otro lado se observan las obligaciones reconocidas con cargo a partidas que son financiadas con el remanente de tesorería para gastos generales por importe de 1661.106,7 euros que corresponden principalmente al reconocimiento y pago de cantidades derivadas de créditos extraordinarios para inversión.</w:t>
      </w:r>
    </w:p>
    <w:p>
      <w:pPr>
        <w:pStyle w:val="BodyText"/>
        <w:spacing w:before="3"/>
        <w:rPr>
          <w:sz w:val="23"/>
        </w:rPr>
      </w:pPr>
    </w:p>
    <w:p>
      <w:pPr>
        <w:pStyle w:val="BodyText"/>
        <w:ind w:left="1407"/>
      </w:pPr>
      <w:r>
        <w:rPr/>
        <w:t>Se observa un resultado presupuestario ajustado positivo de 5.749.566,74 euros.</w:t>
      </w:r>
    </w:p>
    <w:p>
      <w:pPr>
        <w:pStyle w:val="BodyText"/>
        <w:rPr>
          <w:sz w:val="22"/>
        </w:rPr>
      </w:pPr>
    </w:p>
    <w:p>
      <w:pPr>
        <w:pStyle w:val="BodyText"/>
        <w:spacing w:before="11"/>
        <w:rPr>
          <w:sz w:val="18"/>
        </w:rPr>
      </w:pPr>
    </w:p>
    <w:p>
      <w:pPr>
        <w:pStyle w:val="Heading2"/>
        <w:rPr>
          <w:i/>
          <w:u w:val="none"/>
        </w:rPr>
      </w:pPr>
      <w:r>
        <w:rPr>
          <w:b w:val="0"/>
          <w:i/>
          <w:u w:val="none"/>
        </w:rPr>
        <w:t>2º.-</w:t>
      </w:r>
      <w:r>
        <w:rPr>
          <w:b w:val="0"/>
          <w:i/>
          <w:u w:val="single"/>
        </w:rPr>
        <w:t> </w:t>
      </w:r>
      <w:r>
        <w:rPr>
          <w:i/>
          <w:u w:val="single"/>
        </w:rPr>
        <w:t>REMANENTE DE TESORERÍA:</w:t>
      </w:r>
    </w:p>
    <w:p>
      <w:pPr>
        <w:spacing w:before="0"/>
        <w:ind w:left="699" w:right="1803" w:firstLine="50"/>
        <w:jc w:val="left"/>
        <w:rPr>
          <w:i/>
          <w:sz w:val="20"/>
        </w:rPr>
      </w:pPr>
      <w:r>
        <w:rPr/>
        <w:drawing>
          <wp:anchor distT="0" distB="0" distL="0" distR="0" allowOverlap="1" layoutInCell="1" locked="0" behindDoc="1" simplePos="0" relativeHeight="250559488">
            <wp:simplePos x="0" y="0"/>
            <wp:positionH relativeFrom="page">
              <wp:posOffset>547116</wp:posOffset>
            </wp:positionH>
            <wp:positionV relativeFrom="paragraph">
              <wp:posOffset>437076</wp:posOffset>
            </wp:positionV>
            <wp:extent cx="6129523" cy="2042160"/>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6129523" cy="2042160"/>
                    </a:xfrm>
                    <a:prstGeom prst="rect">
                      <a:avLst/>
                    </a:prstGeom>
                  </pic:spPr>
                </pic:pic>
              </a:graphicData>
            </a:graphic>
          </wp:anchor>
        </w:drawing>
      </w:r>
      <w:r>
        <w:rPr>
          <w:i/>
          <w:sz w:val="20"/>
        </w:rPr>
        <w:t>En cuanto al </w:t>
      </w:r>
      <w:r>
        <w:rPr>
          <w:b/>
          <w:i/>
          <w:sz w:val="20"/>
        </w:rPr>
        <w:t>remanente de Tesorería </w:t>
      </w:r>
      <w:r>
        <w:rPr>
          <w:i/>
          <w:sz w:val="20"/>
        </w:rPr>
        <w:t>del ejercicio </w:t>
      </w:r>
      <w:r>
        <w:rPr>
          <w:b/>
          <w:i/>
          <w:sz w:val="20"/>
        </w:rPr>
        <w:t>2024, </w:t>
      </w:r>
      <w:r>
        <w:rPr>
          <w:i/>
          <w:sz w:val="20"/>
        </w:rPr>
        <w:t>integrado por los componentes recogidos en el art. 101 </w:t>
      </w:r>
      <w:r>
        <w:rPr>
          <w:i/>
          <w:sz w:val="20"/>
        </w:rPr>
        <w:t>del RD 500/90, de 20 de abril, presenta los siguientes datos:</w:t>
      </w:r>
    </w:p>
    <w:p>
      <w:pPr>
        <w:pStyle w:val="BodyText"/>
        <w:spacing w:before="4"/>
        <w:rPr>
          <w:i/>
          <w:sz w:val="21"/>
        </w:rPr>
      </w:pPr>
    </w:p>
    <w:tbl>
      <w:tblPr>
        <w:tblW w:w="0" w:type="auto"/>
        <w:jc w:val="left"/>
        <w:tblInd w:w="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0"/>
        <w:gridCol w:w="1474"/>
        <w:gridCol w:w="3548"/>
      </w:tblGrid>
      <w:tr>
        <w:trPr>
          <w:trHeight w:val="304" w:hRule="atLeast"/>
        </w:trPr>
        <w:tc>
          <w:tcPr>
            <w:tcW w:w="4600" w:type="dxa"/>
            <w:shd w:val="clear" w:color="auto" w:fill="C0C0C0"/>
          </w:tcPr>
          <w:p>
            <w:pPr>
              <w:pStyle w:val="TableParagraph"/>
              <w:spacing w:before="0"/>
              <w:rPr>
                <w:rFonts w:ascii="Times New Roman"/>
                <w:sz w:val="18"/>
              </w:rPr>
            </w:pPr>
          </w:p>
        </w:tc>
        <w:tc>
          <w:tcPr>
            <w:tcW w:w="1474" w:type="dxa"/>
            <w:shd w:val="clear" w:color="auto" w:fill="C0C0C0"/>
          </w:tcPr>
          <w:p>
            <w:pPr>
              <w:pStyle w:val="TableParagraph"/>
              <w:spacing w:line="265" w:lineRule="exact" w:before="0"/>
              <w:ind w:left="648"/>
              <w:rPr>
                <w:b/>
                <w:sz w:val="22"/>
              </w:rPr>
            </w:pPr>
            <w:r>
              <w:rPr>
                <w:b/>
                <w:sz w:val="22"/>
              </w:rPr>
              <w:t>Código</w:t>
            </w:r>
          </w:p>
        </w:tc>
        <w:tc>
          <w:tcPr>
            <w:tcW w:w="3548" w:type="dxa"/>
            <w:shd w:val="clear" w:color="auto" w:fill="C0C0C0"/>
          </w:tcPr>
          <w:p>
            <w:pPr>
              <w:pStyle w:val="TableParagraph"/>
              <w:spacing w:line="265" w:lineRule="exact" w:before="0"/>
              <w:ind w:left="157" w:right="228"/>
              <w:jc w:val="center"/>
              <w:rPr>
                <w:b/>
                <w:sz w:val="22"/>
              </w:rPr>
            </w:pPr>
            <w:r>
              <w:rPr>
                <w:b/>
                <w:sz w:val="22"/>
              </w:rPr>
              <w:t>Situación a final trimestre vencido</w:t>
            </w:r>
          </w:p>
        </w:tc>
      </w:tr>
      <w:tr>
        <w:trPr>
          <w:trHeight w:val="307" w:hRule="atLeast"/>
        </w:trPr>
        <w:tc>
          <w:tcPr>
            <w:tcW w:w="4600" w:type="dxa"/>
          </w:tcPr>
          <w:p>
            <w:pPr>
              <w:pStyle w:val="TableParagraph"/>
              <w:spacing w:before="11"/>
              <w:ind w:left="64"/>
              <w:rPr>
                <w:sz w:val="22"/>
              </w:rPr>
            </w:pPr>
            <w:r>
              <w:rPr>
                <w:sz w:val="22"/>
              </w:rPr>
              <w:t>1.- Fondos líquidos</w:t>
            </w:r>
          </w:p>
        </w:tc>
        <w:tc>
          <w:tcPr>
            <w:tcW w:w="1474" w:type="dxa"/>
          </w:tcPr>
          <w:p>
            <w:pPr>
              <w:pStyle w:val="TableParagraph"/>
              <w:spacing w:before="11"/>
              <w:ind w:left="622"/>
              <w:rPr>
                <w:sz w:val="22"/>
              </w:rPr>
            </w:pPr>
            <w:r>
              <w:rPr>
                <w:sz w:val="22"/>
              </w:rPr>
              <w:t>R29t</w:t>
            </w:r>
          </w:p>
        </w:tc>
        <w:tc>
          <w:tcPr>
            <w:tcW w:w="3548" w:type="dxa"/>
          </w:tcPr>
          <w:p>
            <w:pPr>
              <w:pStyle w:val="TableParagraph"/>
              <w:spacing w:before="11"/>
              <w:ind w:left="155" w:right="228"/>
              <w:jc w:val="center"/>
              <w:rPr>
                <w:sz w:val="22"/>
              </w:rPr>
            </w:pPr>
            <w:r>
              <w:rPr>
                <w:sz w:val="22"/>
              </w:rPr>
              <w:t>35.963.910,15</w:t>
            </w:r>
          </w:p>
        </w:tc>
      </w:tr>
      <w:tr>
        <w:trPr>
          <w:trHeight w:val="640" w:hRule="atLeast"/>
        </w:trPr>
        <w:tc>
          <w:tcPr>
            <w:tcW w:w="4600" w:type="dxa"/>
          </w:tcPr>
          <w:p>
            <w:pPr>
              <w:pStyle w:val="TableParagraph"/>
              <w:ind w:left="64"/>
              <w:rPr>
                <w:sz w:val="22"/>
              </w:rPr>
            </w:pPr>
            <w:r>
              <w:rPr>
                <w:sz w:val="22"/>
              </w:rPr>
              <w:t>Derechos Pendientes de cobro:</w:t>
            </w:r>
          </w:p>
          <w:p>
            <w:pPr>
              <w:pStyle w:val="TableParagraph"/>
              <w:spacing w:before="53"/>
              <w:ind w:left="64"/>
              <w:rPr>
                <w:sz w:val="22"/>
              </w:rPr>
            </w:pPr>
            <w:r>
              <w:rPr>
                <w:sz w:val="22"/>
              </w:rPr>
              <w:t>(+) Del Presupuesto corriente</w:t>
            </w:r>
          </w:p>
        </w:tc>
        <w:tc>
          <w:tcPr>
            <w:tcW w:w="1474" w:type="dxa"/>
          </w:tcPr>
          <w:p>
            <w:pPr>
              <w:pStyle w:val="TableParagraph"/>
              <w:spacing w:before="10"/>
              <w:rPr>
                <w:rFonts w:ascii="Times New Roman"/>
                <w:i/>
                <w:sz w:val="29"/>
              </w:rPr>
            </w:pPr>
          </w:p>
          <w:p>
            <w:pPr>
              <w:pStyle w:val="TableParagraph"/>
              <w:spacing w:before="1"/>
              <w:ind w:left="622"/>
              <w:rPr>
                <w:sz w:val="22"/>
              </w:rPr>
            </w:pPr>
            <w:r>
              <w:rPr>
                <w:sz w:val="22"/>
              </w:rPr>
              <w:t>R01</w:t>
            </w:r>
          </w:p>
        </w:tc>
        <w:tc>
          <w:tcPr>
            <w:tcW w:w="3548" w:type="dxa"/>
          </w:tcPr>
          <w:p>
            <w:pPr>
              <w:pStyle w:val="TableParagraph"/>
              <w:spacing w:before="10"/>
              <w:rPr>
                <w:rFonts w:ascii="Times New Roman"/>
                <w:i/>
                <w:sz w:val="29"/>
              </w:rPr>
            </w:pPr>
          </w:p>
          <w:p>
            <w:pPr>
              <w:pStyle w:val="TableParagraph"/>
              <w:spacing w:before="1"/>
              <w:ind w:left="155" w:right="228"/>
              <w:jc w:val="center"/>
              <w:rPr>
                <w:sz w:val="22"/>
              </w:rPr>
            </w:pPr>
            <w:r>
              <w:rPr>
                <w:sz w:val="22"/>
              </w:rPr>
              <w:t>3.280.114,32</w:t>
            </w:r>
          </w:p>
        </w:tc>
      </w:tr>
      <w:tr>
        <w:trPr>
          <w:trHeight w:val="319" w:hRule="atLeast"/>
        </w:trPr>
        <w:tc>
          <w:tcPr>
            <w:tcW w:w="4600" w:type="dxa"/>
          </w:tcPr>
          <w:p>
            <w:pPr>
              <w:pStyle w:val="TableParagraph"/>
              <w:ind w:left="64"/>
              <w:rPr>
                <w:sz w:val="22"/>
              </w:rPr>
            </w:pPr>
            <w:r>
              <w:rPr>
                <w:sz w:val="22"/>
              </w:rPr>
              <w:t>(+) De Presupuestos cerrados</w:t>
            </w:r>
          </w:p>
        </w:tc>
        <w:tc>
          <w:tcPr>
            <w:tcW w:w="1474" w:type="dxa"/>
          </w:tcPr>
          <w:p>
            <w:pPr>
              <w:pStyle w:val="TableParagraph"/>
              <w:ind w:left="622"/>
              <w:rPr>
                <w:sz w:val="22"/>
              </w:rPr>
            </w:pPr>
            <w:r>
              <w:rPr>
                <w:sz w:val="22"/>
              </w:rPr>
              <w:t>R02</w:t>
            </w:r>
          </w:p>
        </w:tc>
        <w:tc>
          <w:tcPr>
            <w:tcW w:w="3548" w:type="dxa"/>
          </w:tcPr>
          <w:p>
            <w:pPr>
              <w:pStyle w:val="TableParagraph"/>
              <w:ind w:left="155" w:right="228"/>
              <w:jc w:val="center"/>
              <w:rPr>
                <w:sz w:val="22"/>
              </w:rPr>
            </w:pPr>
            <w:r>
              <w:rPr>
                <w:sz w:val="22"/>
              </w:rPr>
              <w:t>17.905.056,62</w:t>
            </w:r>
          </w:p>
        </w:tc>
      </w:tr>
      <w:tr>
        <w:trPr>
          <w:trHeight w:val="320" w:hRule="atLeast"/>
        </w:trPr>
        <w:tc>
          <w:tcPr>
            <w:tcW w:w="4600" w:type="dxa"/>
          </w:tcPr>
          <w:p>
            <w:pPr>
              <w:pStyle w:val="TableParagraph"/>
              <w:ind w:left="64"/>
              <w:rPr>
                <w:sz w:val="22"/>
              </w:rPr>
            </w:pPr>
            <w:r>
              <w:rPr>
                <w:sz w:val="22"/>
              </w:rPr>
              <w:t>(+) De Otras operaciones no presupuestarias</w:t>
            </w:r>
          </w:p>
        </w:tc>
        <w:tc>
          <w:tcPr>
            <w:tcW w:w="1474" w:type="dxa"/>
          </w:tcPr>
          <w:p>
            <w:pPr>
              <w:pStyle w:val="TableParagraph"/>
              <w:ind w:left="622"/>
              <w:rPr>
                <w:sz w:val="22"/>
              </w:rPr>
            </w:pPr>
            <w:r>
              <w:rPr>
                <w:sz w:val="22"/>
              </w:rPr>
              <w:t>R04</w:t>
            </w:r>
          </w:p>
        </w:tc>
        <w:tc>
          <w:tcPr>
            <w:tcW w:w="3548" w:type="dxa"/>
          </w:tcPr>
          <w:p>
            <w:pPr>
              <w:pStyle w:val="TableParagraph"/>
              <w:ind w:left="157" w:right="227"/>
              <w:jc w:val="center"/>
              <w:rPr>
                <w:sz w:val="22"/>
              </w:rPr>
            </w:pPr>
            <w:r>
              <w:rPr>
                <w:sz w:val="22"/>
              </w:rPr>
              <w:t>324.538,10</w:t>
            </w:r>
          </w:p>
        </w:tc>
      </w:tr>
      <w:tr>
        <w:trPr>
          <w:trHeight w:val="479" w:hRule="atLeast"/>
        </w:trPr>
        <w:tc>
          <w:tcPr>
            <w:tcW w:w="4600" w:type="dxa"/>
          </w:tcPr>
          <w:p>
            <w:pPr>
              <w:pStyle w:val="TableParagraph"/>
              <w:spacing w:before="24"/>
              <w:ind w:left="64"/>
              <w:rPr>
                <w:sz w:val="22"/>
              </w:rPr>
            </w:pPr>
            <w:r>
              <w:rPr>
                <w:sz w:val="22"/>
              </w:rPr>
              <w:t>2.- Total Derechos pendientes de cobro</w:t>
            </w:r>
          </w:p>
        </w:tc>
        <w:tc>
          <w:tcPr>
            <w:tcW w:w="1474" w:type="dxa"/>
          </w:tcPr>
          <w:p>
            <w:pPr>
              <w:pStyle w:val="TableParagraph"/>
              <w:spacing w:before="24"/>
              <w:ind w:left="622"/>
              <w:rPr>
                <w:sz w:val="22"/>
              </w:rPr>
            </w:pPr>
            <w:r>
              <w:rPr>
                <w:sz w:val="22"/>
              </w:rPr>
              <w:t>R09t</w:t>
            </w:r>
          </w:p>
        </w:tc>
        <w:tc>
          <w:tcPr>
            <w:tcW w:w="3548" w:type="dxa"/>
          </w:tcPr>
          <w:p>
            <w:pPr>
              <w:pStyle w:val="TableParagraph"/>
              <w:spacing w:before="24"/>
              <w:ind w:left="155" w:right="228"/>
              <w:jc w:val="center"/>
              <w:rPr>
                <w:sz w:val="22"/>
              </w:rPr>
            </w:pPr>
            <w:r>
              <w:rPr>
                <w:sz w:val="22"/>
              </w:rPr>
              <w:t>21.509.709,04</w:t>
            </w:r>
          </w:p>
        </w:tc>
      </w:tr>
      <w:tr>
        <w:trPr>
          <w:trHeight w:val="825" w:hRule="atLeast"/>
        </w:trPr>
        <w:tc>
          <w:tcPr>
            <w:tcW w:w="4600" w:type="dxa"/>
          </w:tcPr>
          <w:p>
            <w:pPr>
              <w:pStyle w:val="TableParagraph"/>
              <w:spacing w:line="320" w:lineRule="atLeast" w:before="131"/>
              <w:ind w:left="64" w:right="1499"/>
              <w:rPr>
                <w:sz w:val="22"/>
              </w:rPr>
            </w:pPr>
            <w:r>
              <w:rPr>
                <w:sz w:val="22"/>
              </w:rPr>
              <w:t>Obligaciones pendientes de pago: (+) Del Presupuesto corriente</w:t>
            </w:r>
          </w:p>
        </w:tc>
        <w:tc>
          <w:tcPr>
            <w:tcW w:w="1474" w:type="dxa"/>
          </w:tcPr>
          <w:p>
            <w:pPr>
              <w:pStyle w:val="TableParagraph"/>
              <w:spacing w:before="0"/>
              <w:rPr>
                <w:rFonts w:ascii="Times New Roman"/>
                <w:i/>
                <w:sz w:val="26"/>
              </w:rPr>
            </w:pPr>
          </w:p>
          <w:p>
            <w:pPr>
              <w:pStyle w:val="TableParagraph"/>
              <w:spacing w:before="205"/>
              <w:ind w:left="622"/>
              <w:rPr>
                <w:sz w:val="22"/>
              </w:rPr>
            </w:pPr>
            <w:r>
              <w:rPr>
                <w:sz w:val="22"/>
              </w:rPr>
              <w:t>R11</w:t>
            </w:r>
          </w:p>
        </w:tc>
        <w:tc>
          <w:tcPr>
            <w:tcW w:w="3548" w:type="dxa"/>
          </w:tcPr>
          <w:p>
            <w:pPr>
              <w:pStyle w:val="TableParagraph"/>
              <w:spacing w:before="0"/>
              <w:rPr>
                <w:rFonts w:ascii="Times New Roman"/>
                <w:i/>
                <w:sz w:val="26"/>
              </w:rPr>
            </w:pPr>
          </w:p>
          <w:p>
            <w:pPr>
              <w:pStyle w:val="TableParagraph"/>
              <w:spacing w:before="205"/>
              <w:ind w:left="157" w:right="227"/>
              <w:jc w:val="center"/>
              <w:rPr>
                <w:sz w:val="22"/>
              </w:rPr>
            </w:pPr>
            <w:r>
              <w:rPr>
                <w:sz w:val="22"/>
              </w:rPr>
              <w:t>959.914,28</w:t>
            </w:r>
          </w:p>
        </w:tc>
      </w:tr>
    </w:tbl>
    <w:p>
      <w:pPr>
        <w:spacing w:after="0"/>
        <w:jc w:val="center"/>
        <w:rPr>
          <w:sz w:val="22"/>
        </w:rPr>
        <w:sectPr>
          <w:pgSz w:w="11900" w:h="16840"/>
          <w:pgMar w:header="698" w:footer="0" w:top="1920" w:bottom="280" w:left="200" w:right="0"/>
        </w:sectPr>
      </w:pPr>
    </w:p>
    <w:p>
      <w:pPr>
        <w:pStyle w:val="BodyText"/>
        <w:rPr>
          <w:i/>
        </w:rPr>
      </w:pPr>
      <w:r>
        <w:rPr/>
        <w:pict>
          <v:line style="position:absolute;mso-position-horizontal-relative:page;mso-position-vertical-relative:page;z-index:251668480" from="24.35pt,397.980007pt" to="24.35pt,240.570007pt" stroked="true" strokeweight=".53333pt" strokecolor="#0000ff">
            <v:stroke dashstyle="solid"/>
            <w10:wrap type="none"/>
          </v:line>
        </w:pic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sz w:val="21"/>
        </w:rPr>
      </w:pPr>
    </w:p>
    <w:tbl>
      <w:tblPr>
        <w:tblW w:w="0" w:type="auto"/>
        <w:jc w:val="left"/>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77"/>
        <w:gridCol w:w="1248"/>
        <w:gridCol w:w="2107"/>
      </w:tblGrid>
      <w:tr>
        <w:trPr>
          <w:trHeight w:val="344" w:hRule="atLeast"/>
        </w:trPr>
        <w:tc>
          <w:tcPr>
            <w:tcW w:w="5177" w:type="dxa"/>
          </w:tcPr>
          <w:p>
            <w:pPr>
              <w:pStyle w:val="TableParagraph"/>
              <w:spacing w:before="48"/>
              <w:ind w:left="89"/>
              <w:rPr>
                <w:sz w:val="22"/>
              </w:rPr>
            </w:pPr>
            <w:r>
              <w:rPr>
                <w:sz w:val="22"/>
              </w:rPr>
              <w:t>(+) De Presupuestos cerrados</w:t>
            </w:r>
          </w:p>
        </w:tc>
        <w:tc>
          <w:tcPr>
            <w:tcW w:w="1248" w:type="dxa"/>
          </w:tcPr>
          <w:p>
            <w:pPr>
              <w:pStyle w:val="TableParagraph"/>
              <w:spacing w:before="48"/>
              <w:ind w:left="70"/>
              <w:rPr>
                <w:sz w:val="22"/>
              </w:rPr>
            </w:pPr>
            <w:r>
              <w:rPr>
                <w:sz w:val="22"/>
              </w:rPr>
              <w:t>R12</w:t>
            </w:r>
          </w:p>
        </w:tc>
        <w:tc>
          <w:tcPr>
            <w:tcW w:w="2107" w:type="dxa"/>
          </w:tcPr>
          <w:p>
            <w:pPr>
              <w:pStyle w:val="TableParagraph"/>
              <w:spacing w:before="48"/>
              <w:ind w:left="907"/>
              <w:rPr>
                <w:sz w:val="22"/>
              </w:rPr>
            </w:pPr>
            <w:r>
              <w:rPr>
                <w:sz w:val="22"/>
              </w:rPr>
              <w:t>661.513,20</w:t>
            </w:r>
          </w:p>
        </w:tc>
      </w:tr>
      <w:tr>
        <w:trPr>
          <w:trHeight w:val="319" w:hRule="atLeast"/>
        </w:trPr>
        <w:tc>
          <w:tcPr>
            <w:tcW w:w="5177" w:type="dxa"/>
          </w:tcPr>
          <w:p>
            <w:pPr>
              <w:pStyle w:val="TableParagraph"/>
              <w:ind w:left="89"/>
              <w:rPr>
                <w:sz w:val="22"/>
              </w:rPr>
            </w:pPr>
            <w:r>
              <w:rPr>
                <w:sz w:val="22"/>
              </w:rPr>
              <w:t>(+) De operaciones no presupuestarias</w:t>
            </w:r>
          </w:p>
        </w:tc>
        <w:tc>
          <w:tcPr>
            <w:tcW w:w="1248" w:type="dxa"/>
          </w:tcPr>
          <w:p>
            <w:pPr>
              <w:pStyle w:val="TableParagraph"/>
              <w:ind w:left="70"/>
              <w:rPr>
                <w:sz w:val="22"/>
              </w:rPr>
            </w:pPr>
            <w:r>
              <w:rPr>
                <w:sz w:val="22"/>
              </w:rPr>
              <w:t>R15</w:t>
            </w:r>
          </w:p>
        </w:tc>
        <w:tc>
          <w:tcPr>
            <w:tcW w:w="2107" w:type="dxa"/>
          </w:tcPr>
          <w:p>
            <w:pPr>
              <w:pStyle w:val="TableParagraph"/>
              <w:ind w:left="821"/>
              <w:rPr>
                <w:sz w:val="22"/>
              </w:rPr>
            </w:pPr>
            <w:r>
              <w:rPr>
                <w:sz w:val="22"/>
              </w:rPr>
              <w:t>2.416.279,34</w:t>
            </w:r>
          </w:p>
        </w:tc>
      </w:tr>
      <w:tr>
        <w:trPr>
          <w:trHeight w:val="479" w:hRule="atLeast"/>
        </w:trPr>
        <w:tc>
          <w:tcPr>
            <w:tcW w:w="5177" w:type="dxa"/>
          </w:tcPr>
          <w:p>
            <w:pPr>
              <w:pStyle w:val="TableParagraph"/>
              <w:ind w:left="89"/>
              <w:rPr>
                <w:sz w:val="22"/>
              </w:rPr>
            </w:pPr>
            <w:r>
              <w:rPr>
                <w:sz w:val="22"/>
              </w:rPr>
              <w:t>3.- Total Obligaciones pendientes de Pago</w:t>
            </w:r>
          </w:p>
        </w:tc>
        <w:tc>
          <w:tcPr>
            <w:tcW w:w="1248" w:type="dxa"/>
          </w:tcPr>
          <w:p>
            <w:pPr>
              <w:pStyle w:val="TableParagraph"/>
              <w:ind w:left="70"/>
              <w:rPr>
                <w:sz w:val="22"/>
              </w:rPr>
            </w:pPr>
            <w:r>
              <w:rPr>
                <w:sz w:val="22"/>
              </w:rPr>
              <w:t>R19t</w:t>
            </w:r>
          </w:p>
        </w:tc>
        <w:tc>
          <w:tcPr>
            <w:tcW w:w="2107" w:type="dxa"/>
          </w:tcPr>
          <w:p>
            <w:pPr>
              <w:pStyle w:val="TableParagraph"/>
              <w:ind w:left="821"/>
              <w:rPr>
                <w:sz w:val="22"/>
              </w:rPr>
            </w:pPr>
            <w:r>
              <w:rPr>
                <w:sz w:val="22"/>
              </w:rPr>
              <w:t>4.037.706,82</w:t>
            </w:r>
          </w:p>
        </w:tc>
      </w:tr>
      <w:tr>
        <w:trPr>
          <w:trHeight w:val="632" w:hRule="atLeast"/>
        </w:trPr>
        <w:tc>
          <w:tcPr>
            <w:tcW w:w="5177" w:type="dxa"/>
          </w:tcPr>
          <w:p>
            <w:pPr>
              <w:pStyle w:val="TableParagraph"/>
              <w:spacing w:before="183"/>
              <w:ind w:left="89"/>
              <w:rPr>
                <w:sz w:val="22"/>
              </w:rPr>
            </w:pPr>
            <w:r>
              <w:rPr>
                <w:sz w:val="22"/>
              </w:rPr>
              <w:t>(-) Cobros realizados pendientes de aplicación Definitiva</w:t>
            </w:r>
          </w:p>
        </w:tc>
        <w:tc>
          <w:tcPr>
            <w:tcW w:w="1248" w:type="dxa"/>
          </w:tcPr>
          <w:p>
            <w:pPr>
              <w:pStyle w:val="TableParagraph"/>
              <w:spacing w:before="183"/>
              <w:ind w:left="70"/>
              <w:rPr>
                <w:sz w:val="22"/>
              </w:rPr>
            </w:pPr>
            <w:r>
              <w:rPr>
                <w:sz w:val="22"/>
              </w:rPr>
              <w:t>R06</w:t>
            </w:r>
          </w:p>
        </w:tc>
        <w:tc>
          <w:tcPr>
            <w:tcW w:w="2107" w:type="dxa"/>
          </w:tcPr>
          <w:p>
            <w:pPr>
              <w:pStyle w:val="TableParagraph"/>
              <w:spacing w:before="183"/>
              <w:ind w:left="907"/>
              <w:rPr>
                <w:sz w:val="22"/>
              </w:rPr>
            </w:pPr>
            <w:r>
              <w:rPr>
                <w:sz w:val="22"/>
              </w:rPr>
              <w:t>716.370,50</w:t>
            </w:r>
          </w:p>
        </w:tc>
      </w:tr>
      <w:tr>
        <w:trPr>
          <w:trHeight w:val="625" w:hRule="atLeast"/>
        </w:trPr>
        <w:tc>
          <w:tcPr>
            <w:tcW w:w="5177" w:type="dxa"/>
          </w:tcPr>
          <w:p>
            <w:pPr>
              <w:pStyle w:val="TableParagraph"/>
              <w:spacing w:before="175"/>
              <w:ind w:left="89"/>
              <w:rPr>
                <w:sz w:val="22"/>
              </w:rPr>
            </w:pPr>
            <w:r>
              <w:rPr>
                <w:sz w:val="22"/>
              </w:rPr>
              <w:t>(+) Pagos realizados pendientes de aplicación definitiva</w:t>
            </w:r>
          </w:p>
        </w:tc>
        <w:tc>
          <w:tcPr>
            <w:tcW w:w="1248" w:type="dxa"/>
          </w:tcPr>
          <w:p>
            <w:pPr>
              <w:pStyle w:val="TableParagraph"/>
              <w:spacing w:before="175"/>
              <w:ind w:left="70"/>
              <w:rPr>
                <w:sz w:val="22"/>
              </w:rPr>
            </w:pPr>
            <w:r>
              <w:rPr>
                <w:sz w:val="22"/>
              </w:rPr>
              <w:t>R16</w:t>
            </w:r>
          </w:p>
        </w:tc>
        <w:tc>
          <w:tcPr>
            <w:tcW w:w="2107" w:type="dxa"/>
          </w:tcPr>
          <w:p>
            <w:pPr>
              <w:pStyle w:val="TableParagraph"/>
              <w:spacing w:before="175"/>
              <w:ind w:left="907"/>
              <w:rPr>
                <w:sz w:val="22"/>
              </w:rPr>
            </w:pPr>
            <w:r>
              <w:rPr>
                <w:sz w:val="22"/>
              </w:rPr>
              <w:t>137.182,79</w:t>
            </w:r>
          </w:p>
        </w:tc>
      </w:tr>
      <w:tr>
        <w:trPr>
          <w:trHeight w:val="632" w:hRule="atLeast"/>
        </w:trPr>
        <w:tc>
          <w:tcPr>
            <w:tcW w:w="5177" w:type="dxa"/>
          </w:tcPr>
          <w:p>
            <w:pPr>
              <w:pStyle w:val="TableParagraph"/>
              <w:spacing w:before="176"/>
              <w:ind w:left="89"/>
              <w:rPr>
                <w:sz w:val="22"/>
              </w:rPr>
            </w:pPr>
            <w:r>
              <w:rPr>
                <w:sz w:val="22"/>
              </w:rPr>
              <w:t>4.- Total Partidas pendientes de aplicación</w:t>
            </w:r>
          </w:p>
        </w:tc>
        <w:tc>
          <w:tcPr>
            <w:tcW w:w="1248" w:type="dxa"/>
          </w:tcPr>
          <w:p>
            <w:pPr>
              <w:pStyle w:val="TableParagraph"/>
              <w:spacing w:before="176"/>
              <w:ind w:left="70"/>
              <w:rPr>
                <w:sz w:val="22"/>
              </w:rPr>
            </w:pPr>
            <w:r>
              <w:rPr>
                <w:sz w:val="22"/>
              </w:rPr>
              <w:t>R89t</w:t>
            </w:r>
          </w:p>
        </w:tc>
        <w:tc>
          <w:tcPr>
            <w:tcW w:w="2107" w:type="dxa"/>
          </w:tcPr>
          <w:p>
            <w:pPr>
              <w:pStyle w:val="TableParagraph"/>
              <w:spacing w:before="176"/>
              <w:ind w:left="874"/>
              <w:rPr>
                <w:sz w:val="22"/>
              </w:rPr>
            </w:pPr>
            <w:r>
              <w:rPr>
                <w:sz w:val="22"/>
              </w:rPr>
              <w:t>-579.187,71</w:t>
            </w:r>
          </w:p>
        </w:tc>
      </w:tr>
      <w:tr>
        <w:trPr>
          <w:trHeight w:val="639" w:hRule="atLeast"/>
        </w:trPr>
        <w:tc>
          <w:tcPr>
            <w:tcW w:w="5177" w:type="dxa"/>
          </w:tcPr>
          <w:p>
            <w:pPr>
              <w:pStyle w:val="TableParagraph"/>
              <w:spacing w:before="182"/>
              <w:ind w:left="89"/>
              <w:rPr>
                <w:sz w:val="22"/>
              </w:rPr>
            </w:pPr>
            <w:r>
              <w:rPr>
                <w:sz w:val="22"/>
              </w:rPr>
              <w:t>I. Remanente de Tesorería (1 + 2 - 3 + 4)</w:t>
            </w:r>
          </w:p>
        </w:tc>
        <w:tc>
          <w:tcPr>
            <w:tcW w:w="1248" w:type="dxa"/>
          </w:tcPr>
          <w:p>
            <w:pPr>
              <w:pStyle w:val="TableParagraph"/>
              <w:spacing w:before="182"/>
              <w:ind w:left="70"/>
              <w:rPr>
                <w:sz w:val="22"/>
              </w:rPr>
            </w:pPr>
            <w:r>
              <w:rPr>
                <w:sz w:val="22"/>
              </w:rPr>
              <w:t>R39t</w:t>
            </w:r>
          </w:p>
        </w:tc>
        <w:tc>
          <w:tcPr>
            <w:tcW w:w="2107" w:type="dxa"/>
          </w:tcPr>
          <w:p>
            <w:pPr>
              <w:pStyle w:val="TableParagraph"/>
              <w:spacing w:before="182"/>
              <w:ind w:right="50"/>
              <w:jc w:val="right"/>
              <w:rPr>
                <w:sz w:val="22"/>
              </w:rPr>
            </w:pPr>
            <w:r>
              <w:rPr>
                <w:sz w:val="22"/>
              </w:rPr>
              <w:t>52.856.724,66</w:t>
            </w:r>
          </w:p>
        </w:tc>
      </w:tr>
      <w:tr>
        <w:trPr>
          <w:trHeight w:val="479" w:hRule="atLeast"/>
        </w:trPr>
        <w:tc>
          <w:tcPr>
            <w:tcW w:w="5177" w:type="dxa"/>
          </w:tcPr>
          <w:p>
            <w:pPr>
              <w:pStyle w:val="TableParagraph"/>
              <w:spacing w:before="183"/>
              <w:ind w:left="89"/>
              <w:rPr>
                <w:sz w:val="22"/>
              </w:rPr>
            </w:pPr>
            <w:r>
              <w:rPr>
                <w:sz w:val="22"/>
              </w:rPr>
              <w:t>II. Saldos de dudoso cobro</w:t>
            </w:r>
          </w:p>
        </w:tc>
        <w:tc>
          <w:tcPr>
            <w:tcW w:w="1248" w:type="dxa"/>
          </w:tcPr>
          <w:p>
            <w:pPr>
              <w:pStyle w:val="TableParagraph"/>
              <w:spacing w:before="183"/>
              <w:ind w:left="70"/>
              <w:rPr>
                <w:sz w:val="22"/>
              </w:rPr>
            </w:pPr>
            <w:r>
              <w:rPr>
                <w:sz w:val="22"/>
              </w:rPr>
              <w:t>R41</w:t>
            </w:r>
          </w:p>
        </w:tc>
        <w:tc>
          <w:tcPr>
            <w:tcW w:w="2107" w:type="dxa"/>
          </w:tcPr>
          <w:p>
            <w:pPr>
              <w:pStyle w:val="TableParagraph"/>
              <w:spacing w:before="183"/>
              <w:ind w:left="907"/>
              <w:rPr>
                <w:sz w:val="22"/>
              </w:rPr>
            </w:pPr>
            <w:r>
              <w:rPr>
                <w:sz w:val="22"/>
              </w:rPr>
              <w:t>20.000.000</w:t>
            </w:r>
          </w:p>
        </w:tc>
      </w:tr>
      <w:tr>
        <w:trPr>
          <w:trHeight w:val="320" w:hRule="atLeast"/>
        </w:trPr>
        <w:tc>
          <w:tcPr>
            <w:tcW w:w="5177" w:type="dxa"/>
          </w:tcPr>
          <w:p>
            <w:pPr>
              <w:pStyle w:val="TableParagraph"/>
              <w:ind w:left="89"/>
              <w:rPr>
                <w:sz w:val="22"/>
              </w:rPr>
            </w:pPr>
            <w:r>
              <w:rPr>
                <w:sz w:val="22"/>
              </w:rPr>
              <w:t>III. Exceso de financiación afectada</w:t>
            </w:r>
          </w:p>
        </w:tc>
        <w:tc>
          <w:tcPr>
            <w:tcW w:w="1248" w:type="dxa"/>
          </w:tcPr>
          <w:p>
            <w:pPr>
              <w:pStyle w:val="TableParagraph"/>
              <w:ind w:left="70"/>
              <w:rPr>
                <w:sz w:val="22"/>
              </w:rPr>
            </w:pPr>
            <w:r>
              <w:rPr>
                <w:sz w:val="22"/>
              </w:rPr>
              <w:t>R42</w:t>
            </w:r>
          </w:p>
        </w:tc>
        <w:tc>
          <w:tcPr>
            <w:tcW w:w="2107" w:type="dxa"/>
          </w:tcPr>
          <w:p>
            <w:pPr>
              <w:pStyle w:val="TableParagraph"/>
              <w:ind w:left="821"/>
              <w:rPr>
                <w:sz w:val="22"/>
              </w:rPr>
            </w:pPr>
            <w:r>
              <w:rPr>
                <w:sz w:val="22"/>
              </w:rPr>
              <w:t>6.189.706,26</w:t>
            </w:r>
          </w:p>
        </w:tc>
      </w:tr>
      <w:tr>
        <w:trPr>
          <w:trHeight w:val="767" w:hRule="atLeast"/>
        </w:trPr>
        <w:tc>
          <w:tcPr>
            <w:tcW w:w="5177" w:type="dxa"/>
          </w:tcPr>
          <w:p>
            <w:pPr>
              <w:pStyle w:val="TableParagraph"/>
              <w:spacing w:before="24"/>
              <w:ind w:left="89"/>
              <w:rPr>
                <w:sz w:val="22"/>
              </w:rPr>
            </w:pPr>
            <w:r>
              <w:rPr>
                <w:sz w:val="22"/>
              </w:rPr>
              <w:t>IV.</w:t>
            </w:r>
            <w:r>
              <w:rPr>
                <w:spacing w:val="-18"/>
                <w:sz w:val="22"/>
              </w:rPr>
              <w:t> </w:t>
            </w:r>
            <w:r>
              <w:rPr>
                <w:sz w:val="22"/>
              </w:rPr>
              <w:t>Remanente</w:t>
            </w:r>
            <w:r>
              <w:rPr>
                <w:spacing w:val="-17"/>
                <w:sz w:val="22"/>
              </w:rPr>
              <w:t> </w:t>
            </w:r>
            <w:r>
              <w:rPr>
                <w:sz w:val="22"/>
              </w:rPr>
              <w:t>de</w:t>
            </w:r>
            <w:r>
              <w:rPr>
                <w:spacing w:val="-17"/>
                <w:sz w:val="22"/>
              </w:rPr>
              <w:t> </w:t>
            </w:r>
            <w:r>
              <w:rPr>
                <w:sz w:val="22"/>
              </w:rPr>
              <w:t>Tesorería</w:t>
            </w:r>
            <w:r>
              <w:rPr>
                <w:spacing w:val="-19"/>
                <w:sz w:val="22"/>
              </w:rPr>
              <w:t> </w:t>
            </w:r>
            <w:r>
              <w:rPr>
                <w:sz w:val="22"/>
              </w:rPr>
              <w:t>para</w:t>
            </w:r>
            <w:r>
              <w:rPr>
                <w:spacing w:val="-17"/>
                <w:sz w:val="22"/>
              </w:rPr>
              <w:t> </w:t>
            </w:r>
            <w:r>
              <w:rPr>
                <w:sz w:val="22"/>
              </w:rPr>
              <w:t>Gastos</w:t>
            </w:r>
            <w:r>
              <w:rPr>
                <w:spacing w:val="-17"/>
                <w:sz w:val="22"/>
              </w:rPr>
              <w:t> </w:t>
            </w:r>
            <w:r>
              <w:rPr>
                <w:sz w:val="22"/>
              </w:rPr>
              <w:t>generales</w:t>
            </w:r>
            <w:r>
              <w:rPr>
                <w:spacing w:val="-17"/>
                <w:sz w:val="22"/>
              </w:rPr>
              <w:t> </w:t>
            </w:r>
            <w:r>
              <w:rPr>
                <w:sz w:val="22"/>
              </w:rPr>
              <w:t>(I</w:t>
            </w:r>
            <w:r>
              <w:rPr>
                <w:spacing w:val="-19"/>
                <w:sz w:val="22"/>
              </w:rPr>
              <w:t> </w:t>
            </w:r>
            <w:r>
              <w:rPr>
                <w:sz w:val="22"/>
              </w:rPr>
              <w:t>-</w:t>
            </w:r>
            <w:r>
              <w:rPr>
                <w:spacing w:val="-18"/>
                <w:sz w:val="22"/>
              </w:rPr>
              <w:t> </w:t>
            </w:r>
            <w:r>
              <w:rPr>
                <w:sz w:val="22"/>
              </w:rPr>
              <w:t>II</w:t>
            </w:r>
            <w:r>
              <w:rPr>
                <w:spacing w:val="-18"/>
                <w:sz w:val="22"/>
              </w:rPr>
              <w:t> </w:t>
            </w:r>
            <w:r>
              <w:rPr>
                <w:sz w:val="22"/>
              </w:rPr>
              <w:t>- III)</w:t>
            </w:r>
          </w:p>
        </w:tc>
        <w:tc>
          <w:tcPr>
            <w:tcW w:w="1248" w:type="dxa"/>
          </w:tcPr>
          <w:p>
            <w:pPr>
              <w:pStyle w:val="TableParagraph"/>
              <w:spacing w:before="24"/>
              <w:ind w:left="70"/>
              <w:rPr>
                <w:sz w:val="22"/>
              </w:rPr>
            </w:pPr>
            <w:r>
              <w:rPr>
                <w:sz w:val="22"/>
              </w:rPr>
              <w:t>R49t</w:t>
            </w:r>
          </w:p>
        </w:tc>
        <w:tc>
          <w:tcPr>
            <w:tcW w:w="2107" w:type="dxa"/>
          </w:tcPr>
          <w:p>
            <w:pPr>
              <w:pStyle w:val="TableParagraph"/>
              <w:spacing w:before="24"/>
              <w:ind w:right="50"/>
              <w:jc w:val="right"/>
              <w:rPr>
                <w:sz w:val="22"/>
              </w:rPr>
            </w:pPr>
            <w:r>
              <w:rPr>
                <w:sz w:val="22"/>
              </w:rPr>
              <w:t>26.667.018,40</w:t>
            </w:r>
          </w:p>
        </w:tc>
      </w:tr>
      <w:tr>
        <w:trPr>
          <w:trHeight w:val="783" w:hRule="atLeast"/>
        </w:trPr>
        <w:tc>
          <w:tcPr>
            <w:tcW w:w="5177" w:type="dxa"/>
          </w:tcPr>
          <w:p>
            <w:pPr>
              <w:pStyle w:val="TableParagraph"/>
              <w:spacing w:line="237" w:lineRule="auto" w:before="203"/>
              <w:ind w:left="89" w:right="734"/>
              <w:rPr>
                <w:sz w:val="22"/>
              </w:rPr>
            </w:pPr>
            <w:r>
              <w:rPr>
                <w:sz w:val="22"/>
              </w:rPr>
              <w:t>V. Saldo de obligaciones pendientes de aplicar al Presupuesto a final de período</w:t>
            </w:r>
          </w:p>
        </w:tc>
        <w:tc>
          <w:tcPr>
            <w:tcW w:w="1248" w:type="dxa"/>
          </w:tcPr>
          <w:p>
            <w:pPr>
              <w:pStyle w:val="TableParagraph"/>
              <w:spacing w:before="201"/>
              <w:ind w:left="70"/>
              <w:rPr>
                <w:sz w:val="22"/>
              </w:rPr>
            </w:pPr>
            <w:r>
              <w:rPr>
                <w:sz w:val="22"/>
              </w:rPr>
              <w:t>R59t</w:t>
            </w:r>
          </w:p>
        </w:tc>
        <w:tc>
          <w:tcPr>
            <w:tcW w:w="2107" w:type="dxa"/>
          </w:tcPr>
          <w:p>
            <w:pPr>
              <w:pStyle w:val="TableParagraph"/>
              <w:spacing w:before="201"/>
              <w:ind w:left="1214"/>
              <w:rPr>
                <w:sz w:val="22"/>
              </w:rPr>
            </w:pPr>
            <w:r>
              <w:rPr>
                <w:sz w:val="22"/>
              </w:rPr>
              <w:t>0,00</w:t>
            </w:r>
          </w:p>
        </w:tc>
      </w:tr>
      <w:tr>
        <w:trPr>
          <w:trHeight w:val="625" w:hRule="atLeast"/>
        </w:trPr>
        <w:tc>
          <w:tcPr>
            <w:tcW w:w="5177" w:type="dxa"/>
          </w:tcPr>
          <w:p>
            <w:pPr>
              <w:pStyle w:val="TableParagraph"/>
              <w:spacing w:before="42"/>
              <w:ind w:left="89"/>
              <w:rPr>
                <w:sz w:val="22"/>
              </w:rPr>
            </w:pPr>
            <w:r>
              <w:rPr>
                <w:sz w:val="22"/>
              </w:rPr>
              <w:t>VI.</w:t>
            </w:r>
            <w:r>
              <w:rPr>
                <w:spacing w:val="-18"/>
                <w:sz w:val="22"/>
              </w:rPr>
              <w:t> </w:t>
            </w:r>
            <w:r>
              <w:rPr>
                <w:sz w:val="22"/>
              </w:rPr>
              <w:t>Saldo</w:t>
            </w:r>
            <w:r>
              <w:rPr>
                <w:spacing w:val="-18"/>
                <w:sz w:val="22"/>
              </w:rPr>
              <w:t> </w:t>
            </w:r>
            <w:r>
              <w:rPr>
                <w:sz w:val="22"/>
              </w:rPr>
              <w:t>de</w:t>
            </w:r>
            <w:r>
              <w:rPr>
                <w:spacing w:val="-16"/>
                <w:sz w:val="22"/>
              </w:rPr>
              <w:t> </w:t>
            </w:r>
            <w:r>
              <w:rPr>
                <w:sz w:val="22"/>
              </w:rPr>
              <w:t>acreedores</w:t>
            </w:r>
            <w:r>
              <w:rPr>
                <w:spacing w:val="-17"/>
                <w:sz w:val="22"/>
              </w:rPr>
              <w:t> </w:t>
            </w:r>
            <w:r>
              <w:rPr>
                <w:sz w:val="22"/>
              </w:rPr>
              <w:t>por</w:t>
            </w:r>
            <w:r>
              <w:rPr>
                <w:spacing w:val="-18"/>
                <w:sz w:val="22"/>
              </w:rPr>
              <w:t> </w:t>
            </w:r>
            <w:r>
              <w:rPr>
                <w:sz w:val="22"/>
              </w:rPr>
              <w:t>devolución</w:t>
            </w:r>
            <w:r>
              <w:rPr>
                <w:spacing w:val="-16"/>
                <w:sz w:val="22"/>
              </w:rPr>
              <w:t> </w:t>
            </w:r>
            <w:r>
              <w:rPr>
                <w:sz w:val="22"/>
              </w:rPr>
              <w:t>de</w:t>
            </w:r>
            <w:r>
              <w:rPr>
                <w:spacing w:val="-17"/>
                <w:sz w:val="22"/>
              </w:rPr>
              <w:t> </w:t>
            </w:r>
            <w:r>
              <w:rPr>
                <w:sz w:val="22"/>
              </w:rPr>
              <w:t>ingresos</w:t>
            </w:r>
            <w:r>
              <w:rPr>
                <w:spacing w:val="-18"/>
                <w:sz w:val="22"/>
              </w:rPr>
              <w:t> </w:t>
            </w:r>
            <w:r>
              <w:rPr>
                <w:sz w:val="22"/>
              </w:rPr>
              <w:t>a</w:t>
            </w:r>
            <w:r>
              <w:rPr>
                <w:spacing w:val="-16"/>
                <w:sz w:val="22"/>
              </w:rPr>
              <w:t> </w:t>
            </w:r>
            <w:r>
              <w:rPr>
                <w:sz w:val="22"/>
              </w:rPr>
              <w:t>final de</w:t>
            </w:r>
            <w:r>
              <w:rPr>
                <w:spacing w:val="-10"/>
                <w:sz w:val="22"/>
              </w:rPr>
              <w:t> </w:t>
            </w:r>
            <w:r>
              <w:rPr>
                <w:sz w:val="22"/>
              </w:rPr>
              <w:t>período</w:t>
            </w:r>
          </w:p>
        </w:tc>
        <w:tc>
          <w:tcPr>
            <w:tcW w:w="1248" w:type="dxa"/>
          </w:tcPr>
          <w:p>
            <w:pPr>
              <w:pStyle w:val="TableParagraph"/>
              <w:spacing w:before="42"/>
              <w:ind w:left="70"/>
              <w:rPr>
                <w:sz w:val="22"/>
              </w:rPr>
            </w:pPr>
            <w:r>
              <w:rPr>
                <w:sz w:val="22"/>
              </w:rPr>
              <w:t>R69t</w:t>
            </w:r>
          </w:p>
        </w:tc>
        <w:tc>
          <w:tcPr>
            <w:tcW w:w="2107" w:type="dxa"/>
          </w:tcPr>
          <w:p>
            <w:pPr>
              <w:pStyle w:val="TableParagraph"/>
              <w:spacing w:before="42"/>
              <w:ind w:left="907"/>
              <w:rPr>
                <w:sz w:val="22"/>
              </w:rPr>
            </w:pPr>
            <w:r>
              <w:rPr>
                <w:sz w:val="22"/>
              </w:rPr>
              <w:t>183.156,11</w:t>
            </w:r>
          </w:p>
        </w:tc>
      </w:tr>
      <w:tr>
        <w:trPr>
          <w:trHeight w:val="631" w:hRule="atLeast"/>
        </w:trPr>
        <w:tc>
          <w:tcPr>
            <w:tcW w:w="5177" w:type="dxa"/>
          </w:tcPr>
          <w:p>
            <w:pPr>
              <w:pStyle w:val="TableParagraph"/>
              <w:spacing w:before="40"/>
              <w:ind w:left="89" w:right="937"/>
              <w:rPr>
                <w:sz w:val="22"/>
              </w:rPr>
            </w:pPr>
            <w:r>
              <w:rPr>
                <w:sz w:val="22"/>
              </w:rPr>
              <w:t>VII. REMANENTE DE TESORERÍA PARA GASTOS GENERALES AJUSTADO (IV-V-VI)</w:t>
            </w:r>
          </w:p>
        </w:tc>
        <w:tc>
          <w:tcPr>
            <w:tcW w:w="1248" w:type="dxa"/>
          </w:tcPr>
          <w:p>
            <w:pPr>
              <w:pStyle w:val="TableParagraph"/>
              <w:spacing w:before="40"/>
              <w:ind w:left="70"/>
              <w:rPr>
                <w:sz w:val="22"/>
              </w:rPr>
            </w:pPr>
            <w:r>
              <w:rPr>
                <w:sz w:val="22"/>
              </w:rPr>
              <w:t>R79t</w:t>
            </w:r>
          </w:p>
        </w:tc>
        <w:tc>
          <w:tcPr>
            <w:tcW w:w="2107" w:type="dxa"/>
          </w:tcPr>
          <w:p>
            <w:pPr>
              <w:pStyle w:val="TableParagraph"/>
              <w:spacing w:before="40"/>
              <w:ind w:right="48"/>
              <w:jc w:val="right"/>
              <w:rPr>
                <w:b/>
                <w:sz w:val="22"/>
              </w:rPr>
            </w:pPr>
            <w:r>
              <w:rPr>
                <w:b/>
                <w:sz w:val="22"/>
              </w:rPr>
              <w:t>26.483.862,29</w:t>
            </w:r>
          </w:p>
        </w:tc>
      </w:tr>
    </w:tbl>
    <w:p>
      <w:pPr>
        <w:pStyle w:val="BodyText"/>
        <w:rPr>
          <w:i/>
        </w:rPr>
      </w:pPr>
    </w:p>
    <w:p>
      <w:pPr>
        <w:pStyle w:val="BodyText"/>
        <w:spacing w:before="3"/>
        <w:rPr>
          <w:i/>
          <w:sz w:val="23"/>
        </w:rPr>
      </w:pPr>
    </w:p>
    <w:p>
      <w:pPr>
        <w:pStyle w:val="BodyText"/>
        <w:ind w:left="699" w:right="1823" w:firstLine="708"/>
      </w:pPr>
      <w:r>
        <w:rPr/>
        <w:pict>
          <v:group style="position:absolute;margin-left:43.080002pt;margin-top:-387.264587pt;width:482.65pt;height:364.35pt;mso-position-horizontal-relative:page;mso-position-vertical-relative:paragraph;z-index:-252753920" coordorigin="862,-7745" coordsize="9653,7287">
            <v:shape style="position:absolute;left:861;top:-7746;width:9653;height:1901" type="#_x0000_t75" stroked="false">
              <v:imagedata r:id="rId9" o:title=""/>
            </v:shape>
            <v:shape style="position:absolute;left:10500;top:-6450;width:15;height:605" type="#_x0000_t75" stroked="false">
              <v:imagedata r:id="rId10" o:title=""/>
            </v:shape>
            <v:shape style="position:absolute;left:861;top:-5843;width:9653;height:2" coordorigin="862,-5842" coordsize="9653,0" path="m10500,-5842l10514,-5842m862,-5842l876,-5842e" filled="false" stroked="true" strokeweight=".24pt" strokecolor="#fefefe">
              <v:path arrowok="t"/>
              <v:stroke dashstyle="solid"/>
            </v:shape>
            <v:shape style="position:absolute;left:6021;top:-6450;width:15;height:605" type="#_x0000_t75" stroked="false">
              <v:imagedata r:id="rId10" o:title=""/>
            </v:shape>
            <v:line style="position:absolute" from="6022,-5842" to="6036,-5842" stroked="true" strokeweight=".24pt" strokecolor="#fefefe">
              <v:stroke dashstyle="solid"/>
            </v:line>
            <v:shape style="position:absolute;left:6856;top:-6450;width:15;height:605" type="#_x0000_t75" stroked="false">
              <v:imagedata r:id="rId10" o:title=""/>
            </v:shape>
            <v:line style="position:absolute" from="6857,-5842" to="6871,-5842" stroked="true" strokeweight=".24pt" strokecolor="#fefefe">
              <v:stroke dashstyle="solid"/>
            </v:line>
            <v:shape style="position:absolute;left:861;top:-5840;width:9653;height:3166" type="#_x0000_t75" stroked="false">
              <v:imagedata r:id="rId11" o:title=""/>
            </v:shape>
            <v:shape style="position:absolute;left:10500;top:-3279;width:15;height:605" type="#_x0000_t75" stroked="false">
              <v:imagedata r:id="rId12" o:title=""/>
            </v:shape>
            <v:shape style="position:absolute;left:861;top:-2672;width:9653;height:2" coordorigin="862,-2672" coordsize="9653,0" path="m10500,-2672l10514,-2672m862,-2672l876,-2672e" filled="false" stroked="true" strokeweight=".24pt" strokecolor="#fefefe">
              <v:path arrowok="t"/>
              <v:stroke dashstyle="solid"/>
            </v:shape>
            <v:shape style="position:absolute;left:6021;top:-3279;width:15;height:605" type="#_x0000_t75" stroked="false">
              <v:imagedata r:id="rId12" o:title=""/>
            </v:shape>
            <v:line style="position:absolute" from="6022,-2672" to="6036,-2672" stroked="true" strokeweight=".24pt" strokecolor="#fefefe">
              <v:stroke dashstyle="solid"/>
            </v:line>
            <v:shape style="position:absolute;left:6856;top:-3279;width:15;height:605" type="#_x0000_t75" stroked="false">
              <v:imagedata r:id="rId12" o:title=""/>
            </v:shape>
            <v:line style="position:absolute" from="6857,-2672" to="6871,-2672" stroked="true" strokeweight=".24pt" strokecolor="#fefefe">
              <v:stroke dashstyle="solid"/>
            </v:line>
            <v:shape style="position:absolute;left:861;top:-2670;width:9653;height:1565" type="#_x0000_t75" stroked="false">
              <v:imagedata r:id="rId13" o:title=""/>
            </v:shape>
            <v:shape style="position:absolute;left:10500;top:-1710;width:15;height:605" type="#_x0000_t75" stroked="false">
              <v:imagedata r:id="rId14" o:title=""/>
            </v:shape>
            <v:shape style="position:absolute;left:861;top:-1103;width:9653;height:2" coordorigin="862,-1102" coordsize="9653,0" path="m10500,-1102l10514,-1102m862,-1102l876,-1102e" filled="false" stroked="true" strokeweight=".24pt" strokecolor="#000000">
              <v:path arrowok="t"/>
              <v:stroke dashstyle="solid"/>
            </v:shape>
            <v:shape style="position:absolute;left:6021;top:-1710;width:15;height:605" type="#_x0000_t75" stroked="false">
              <v:imagedata r:id="rId14" o:title=""/>
            </v:shape>
            <v:line style="position:absolute" from="6022,-1102" to="6036,-1102" stroked="true" strokeweight=".24pt" strokecolor="#000000">
              <v:stroke dashstyle="solid"/>
            </v:line>
            <v:shape style="position:absolute;left:6856;top:-1710;width:15;height:605" type="#_x0000_t75" stroked="false">
              <v:imagedata r:id="rId14" o:title=""/>
            </v:shape>
            <v:line style="position:absolute" from="6857,-1102" to="6871,-1102" stroked="true" strokeweight=".24pt" strokecolor="#000000">
              <v:stroke dashstyle="solid"/>
            </v:line>
            <v:shape style="position:absolute;left:861;top:-1100;width:9653;height:641" type="#_x0000_t75" stroked="false">
              <v:imagedata r:id="rId15" o:title=""/>
            </v:shape>
            <w10:wrap type="none"/>
          </v:group>
        </w:pict>
      </w:r>
      <w:r>
        <w:rPr/>
        <w:pict>
          <v:shape style="position:absolute;margin-left:.597812pt;margin-top:-437.099518pt;width:23.8pt;height:582.2pt;mso-position-horizontal-relative:page;mso-position-vertical-relative:paragraph;z-index:-25275187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15711470763626204765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r>
        <w:rPr/>
        <w:t>Habiendo sido calculado en virtud de lo dispuesto en el artº. 93.2 del Real Decreto 500/90, de 20 de abril, que dispone que como consecuencia de la Liquidación del Presupuesto deberá determinarse entre otros aspectos el Remanente de Tesorería, y de la Regla 56 de la Instrucción de Contabilidad para la Admón. Local de 20 de Septiembre de 2013.</w:t>
      </w:r>
    </w:p>
    <w:p>
      <w:pPr>
        <w:pStyle w:val="BodyText"/>
        <w:spacing w:before="2"/>
        <w:ind w:left="699" w:right="2070" w:firstLine="708"/>
      </w:pPr>
      <w:r>
        <w:rPr/>
        <w:t>A continuación se muestra el cuadro desglose que compone el montante total del exceso de desviación afectada acumulada a 31-12:</w:t>
      </w:r>
    </w:p>
    <w:p>
      <w:pPr>
        <w:pStyle w:val="BodyText"/>
        <w:spacing w:before="9" w:after="1"/>
        <w:rPr>
          <w:sz w:val="19"/>
        </w:rPr>
      </w:pPr>
    </w:p>
    <w:tbl>
      <w:tblPr>
        <w:tblW w:w="0" w:type="auto"/>
        <w:jc w:val="left"/>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0"/>
        <w:gridCol w:w="1212"/>
      </w:tblGrid>
      <w:tr>
        <w:trPr>
          <w:trHeight w:val="489" w:hRule="atLeast"/>
        </w:trPr>
        <w:tc>
          <w:tcPr>
            <w:tcW w:w="3360" w:type="dxa"/>
          </w:tcPr>
          <w:p>
            <w:pPr>
              <w:pStyle w:val="TableParagraph"/>
              <w:spacing w:before="6"/>
              <w:rPr>
                <w:rFonts w:ascii="Times New Roman"/>
                <w:sz w:val="22"/>
              </w:rPr>
            </w:pPr>
          </w:p>
          <w:p>
            <w:pPr>
              <w:pStyle w:val="TableParagraph"/>
              <w:spacing w:line="210" w:lineRule="exact" w:before="0"/>
              <w:ind w:left="69"/>
              <w:rPr>
                <w:rFonts w:ascii="Times New Roman" w:hAnsi="Times New Roman"/>
                <w:sz w:val="20"/>
              </w:rPr>
            </w:pPr>
            <w:r>
              <w:rPr>
                <w:rFonts w:ascii="Times New Roman" w:hAnsi="Times New Roman"/>
                <w:sz w:val="20"/>
              </w:rPr>
              <w:t>Financiación afectada</w:t>
            </w:r>
          </w:p>
        </w:tc>
        <w:tc>
          <w:tcPr>
            <w:tcW w:w="1212" w:type="dxa"/>
          </w:tcPr>
          <w:p>
            <w:pPr>
              <w:pStyle w:val="TableParagraph"/>
              <w:spacing w:before="1"/>
              <w:ind w:right="62"/>
              <w:jc w:val="right"/>
              <w:rPr>
                <w:sz w:val="20"/>
              </w:rPr>
            </w:pPr>
            <w:r>
              <w:rPr>
                <w:sz w:val="20"/>
              </w:rPr>
              <w:t>3266975,94</w:t>
            </w:r>
          </w:p>
        </w:tc>
      </w:tr>
      <w:tr>
        <w:trPr>
          <w:trHeight w:val="489" w:hRule="atLeast"/>
        </w:trPr>
        <w:tc>
          <w:tcPr>
            <w:tcW w:w="3360" w:type="dxa"/>
          </w:tcPr>
          <w:p>
            <w:pPr>
              <w:pStyle w:val="TableParagraph"/>
              <w:spacing w:line="230" w:lineRule="atLeast" w:before="29"/>
              <w:ind w:left="69" w:right="689"/>
              <w:rPr>
                <w:rFonts w:ascii="Times New Roman"/>
                <w:sz w:val="20"/>
              </w:rPr>
            </w:pPr>
            <w:r>
              <w:rPr>
                <w:rFonts w:ascii="Times New Roman"/>
                <w:sz w:val="20"/>
              </w:rPr>
              <w:t>Resto subvenciones ejercicio no ejecutado el gasto</w:t>
            </w:r>
          </w:p>
        </w:tc>
        <w:tc>
          <w:tcPr>
            <w:tcW w:w="1212" w:type="dxa"/>
          </w:tcPr>
          <w:p>
            <w:pPr>
              <w:pStyle w:val="TableParagraph"/>
              <w:spacing w:line="243" w:lineRule="exact" w:before="0"/>
              <w:ind w:right="62"/>
              <w:jc w:val="right"/>
              <w:rPr>
                <w:sz w:val="20"/>
              </w:rPr>
            </w:pPr>
            <w:r>
              <w:rPr>
                <w:sz w:val="20"/>
              </w:rPr>
              <w:t>2922730,32</w:t>
            </w:r>
          </w:p>
        </w:tc>
      </w:tr>
      <w:tr>
        <w:trPr>
          <w:trHeight w:val="299" w:hRule="atLeast"/>
        </w:trPr>
        <w:tc>
          <w:tcPr>
            <w:tcW w:w="3360" w:type="dxa"/>
          </w:tcPr>
          <w:p>
            <w:pPr>
              <w:pStyle w:val="TableParagraph"/>
              <w:spacing w:line="210" w:lineRule="exact" w:before="70"/>
              <w:ind w:left="69"/>
              <w:rPr>
                <w:rFonts w:ascii="Times New Roman"/>
                <w:sz w:val="20"/>
              </w:rPr>
            </w:pPr>
            <w:r>
              <w:rPr>
                <w:rFonts w:ascii="Times New Roman"/>
                <w:sz w:val="20"/>
              </w:rPr>
              <w:t>TOTAL</w:t>
            </w:r>
          </w:p>
        </w:tc>
        <w:tc>
          <w:tcPr>
            <w:tcW w:w="1212" w:type="dxa"/>
          </w:tcPr>
          <w:p>
            <w:pPr>
              <w:pStyle w:val="TableParagraph"/>
              <w:spacing w:line="223" w:lineRule="exact" w:before="56"/>
              <w:ind w:right="62"/>
              <w:jc w:val="right"/>
              <w:rPr>
                <w:b/>
                <w:sz w:val="20"/>
              </w:rPr>
            </w:pPr>
            <w:r>
              <w:rPr>
                <w:b/>
                <w:sz w:val="20"/>
              </w:rPr>
              <w:t>6.189.706,26</w:t>
            </w:r>
          </w:p>
        </w:tc>
      </w:tr>
    </w:tbl>
    <w:p>
      <w:pPr>
        <w:pStyle w:val="BodyText"/>
      </w:pPr>
    </w:p>
    <w:p>
      <w:pPr>
        <w:pStyle w:val="BodyText"/>
        <w:spacing w:before="1"/>
        <w:ind w:left="699" w:right="1837" w:firstLine="708"/>
      </w:pPr>
      <w:r>
        <w:rPr/>
        <w:t>En virtud de la regla 56 el remanente citado se ha cuantificado a partir de los datos que en fin de ejercicio figuran en la contabilidad antes del cierre de la misma, obtenido como suma de los fondos líquidos más los derechos pendientes de cobro, deduciendo las obligaciones pendientes de pago. El remanente de Tesorería disponible para la financiación de gastos generales se ha determinado minorando el remanente de Tesorería en el</w:t>
      </w:r>
    </w:p>
    <w:p>
      <w:pPr>
        <w:spacing w:after="0"/>
        <w:sectPr>
          <w:pgSz w:w="11900" w:h="16840"/>
          <w:pgMar w:header="698" w:footer="0" w:top="1920" w:bottom="280" w:left="20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6"/>
        </w:rPr>
      </w:pPr>
    </w:p>
    <w:p>
      <w:pPr>
        <w:pStyle w:val="BodyText"/>
        <w:spacing w:before="90"/>
        <w:ind w:left="699" w:right="1684"/>
      </w:pPr>
      <w:r>
        <w:rPr/>
        <w:pict>
          <v:shape style="position:absolute;margin-left:.597812pt;margin-top:-45.359646pt;width:23.8pt;height:582.2pt;mso-position-horizontal-relative:page;mso-position-vertical-relative:paragraph;z-index:-25274982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15711470763626204765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r>
        <w:rPr/>
        <w:t>importe de los derechos pendientes de cobro que, en fin de ejercicio, se han considerado como de dudoso cobro, habiéndose utilizado los criterios de dudoso cobro recogidos en el propio FCFM y siendo incluso incrementados hasta </w:t>
      </w:r>
      <w:r>
        <w:rPr>
          <w:b/>
        </w:rPr>
        <w:t>20 millones </w:t>
      </w:r>
      <w:r>
        <w:rPr/>
        <w:t>para así lograr un remanente más real. Se confía realmente que se pueda recaudar un pendiente de cobro superior a lo que se recoge en este remanente si bien el mismo ha de seguir siendo objeto de depuración.</w:t>
      </w:r>
    </w:p>
    <w:p>
      <w:pPr>
        <w:pStyle w:val="BodyText"/>
        <w:spacing w:before="2"/>
        <w:ind w:left="699" w:right="1808" w:firstLine="708"/>
      </w:pPr>
      <w:r>
        <w:rPr/>
        <w:pict>
          <v:line style="position:absolute;mso-position-horizontal-relative:page;mso-position-vertical-relative:paragraph;z-index:251670528" from="24.35pt,172.335676pt" to="24.35pt,14.925676pt" stroked="true" strokeweight=".53333pt" strokecolor="#0000ff">
            <v:stroke dashstyle="solid"/>
            <w10:wrap type="none"/>
          </v:line>
        </w:pict>
      </w:r>
      <w:r>
        <w:rPr/>
        <w:t>El cálculo de los fondos líquidos, de los derechos pendientes de cobro y de las obligaciones pendientes de pago, se ha efectuado de acuerdo con lo establecido en la propia instrucción de contabilidad.</w:t>
      </w:r>
    </w:p>
    <w:p>
      <w:pPr>
        <w:pStyle w:val="BodyText"/>
        <w:spacing w:before="118"/>
        <w:ind w:left="699" w:right="1906" w:firstLine="708"/>
      </w:pPr>
      <w:r>
        <w:rPr/>
        <w:t>Como consecuencia de lo anterior, el remanente de Tesorería arroja un importe positivo de </w:t>
      </w:r>
      <w:r>
        <w:rPr>
          <w:rFonts w:ascii="Calibri" w:hAnsi="Calibri"/>
          <w:b/>
          <w:sz w:val="22"/>
        </w:rPr>
        <w:t>26.483.862,29 </w:t>
      </w:r>
      <w:r>
        <w:rPr>
          <w:b/>
        </w:rPr>
        <w:t>€. </w:t>
      </w:r>
      <w:r>
        <w:rPr/>
        <w:t>La cifra del remanente supone que haya margen para poder incorporar aquellos remanentes de crédito de inversión generados mediante créditos extraordinarios financiados con el remanente de tesorería para gastos generales.</w:t>
      </w:r>
    </w:p>
    <w:p>
      <w:pPr>
        <w:pStyle w:val="BodyText"/>
        <w:rPr>
          <w:sz w:val="22"/>
        </w:rPr>
      </w:pPr>
    </w:p>
    <w:p>
      <w:pPr>
        <w:pStyle w:val="BodyText"/>
        <w:rPr>
          <w:sz w:val="18"/>
        </w:rPr>
      </w:pPr>
    </w:p>
    <w:p>
      <w:pPr>
        <w:pStyle w:val="Heading2"/>
        <w:rPr>
          <w:i/>
          <w:u w:val="none"/>
        </w:rPr>
      </w:pPr>
      <w:r>
        <w:rPr>
          <w:b w:val="0"/>
          <w:i w:val="0"/>
          <w:u w:val="none"/>
        </w:rPr>
        <w:t>3º.- </w:t>
      </w:r>
      <w:r>
        <w:rPr>
          <w:i/>
          <w:u w:val="single"/>
        </w:rPr>
        <w:t>ESTABILIDAD PRESUPUESTARIA</w:t>
      </w:r>
    </w:p>
    <w:p>
      <w:pPr>
        <w:pStyle w:val="BodyText"/>
        <w:spacing w:before="2"/>
        <w:rPr>
          <w:b/>
          <w:i/>
          <w:sz w:val="12"/>
        </w:rPr>
      </w:pPr>
    </w:p>
    <w:p>
      <w:pPr>
        <w:pStyle w:val="BodyText"/>
        <w:spacing w:before="91"/>
        <w:ind w:left="699" w:right="1750" w:firstLine="708"/>
      </w:pPr>
      <w:r>
        <w:rPr/>
        <w:t>De conformidad con la Ley 18/2001, de 12 de diciembre, General de Estabilidad Presupuestaria, debe examinarse el cumplimiento del objetivo de estabilidad presupuestaria en el momento de la liquidación. </w:t>
      </w:r>
      <w:r>
        <w:rPr>
          <w:spacing w:val="-3"/>
        </w:rPr>
        <w:t>En relación </w:t>
      </w:r>
      <w:r>
        <w:rPr/>
        <w:t>con el </w:t>
      </w:r>
      <w:r>
        <w:rPr>
          <w:spacing w:val="-3"/>
        </w:rPr>
        <w:t>mismo, </w:t>
      </w:r>
      <w:r>
        <w:rPr/>
        <w:t>el </w:t>
      </w:r>
      <w:r>
        <w:rPr>
          <w:spacing w:val="-3"/>
        </w:rPr>
        <w:t>artículo </w:t>
      </w:r>
      <w:r>
        <w:rPr/>
        <w:t>7 de </w:t>
      </w:r>
      <w:r>
        <w:rPr>
          <w:spacing w:val="-3"/>
        </w:rPr>
        <w:t>la indicada Ley 18/2001, en </w:t>
      </w:r>
      <w:r>
        <w:rPr/>
        <w:t>la </w:t>
      </w:r>
      <w:r>
        <w:rPr>
          <w:spacing w:val="-3"/>
        </w:rPr>
        <w:t>redacción dada </w:t>
      </w:r>
      <w:r>
        <w:rPr>
          <w:spacing w:val="-2"/>
        </w:rPr>
        <w:t>por </w:t>
      </w:r>
      <w:r>
        <w:rPr/>
        <w:t>la Ley </w:t>
      </w:r>
      <w:r>
        <w:rPr>
          <w:spacing w:val="-3"/>
        </w:rPr>
        <w:t>15/2006, indica </w:t>
      </w:r>
      <w:r>
        <w:rPr>
          <w:spacing w:val="-2"/>
        </w:rPr>
        <w:t>que </w:t>
      </w:r>
      <w:r>
        <w:rPr/>
        <w:t>la </w:t>
      </w:r>
      <w:r>
        <w:rPr>
          <w:spacing w:val="-3"/>
        </w:rPr>
        <w:t>elaboración, aprobación </w:t>
      </w:r>
      <w:r>
        <w:rPr/>
        <w:t>y </w:t>
      </w:r>
      <w:r>
        <w:rPr>
          <w:spacing w:val="-3"/>
        </w:rPr>
        <w:t>ejecución </w:t>
      </w:r>
      <w:r>
        <w:rPr/>
        <w:t>de </w:t>
      </w:r>
      <w:r>
        <w:rPr>
          <w:spacing w:val="-3"/>
        </w:rPr>
        <w:t>los Presupuestos </w:t>
      </w:r>
      <w:r>
        <w:rPr/>
        <w:t>de las </w:t>
      </w:r>
      <w:r>
        <w:rPr>
          <w:spacing w:val="-3"/>
        </w:rPr>
        <w:t>Entidades Locales </w:t>
      </w:r>
      <w:r>
        <w:rPr/>
        <w:t>se </w:t>
      </w:r>
      <w:r>
        <w:rPr>
          <w:spacing w:val="-3"/>
        </w:rPr>
        <w:t>realizará </w:t>
      </w:r>
      <w:r>
        <w:rPr/>
        <w:t>con </w:t>
      </w:r>
      <w:r>
        <w:rPr>
          <w:spacing w:val="-3"/>
        </w:rPr>
        <w:t>carácter general </w:t>
      </w:r>
      <w:r>
        <w:rPr/>
        <w:t>en </w:t>
      </w:r>
      <w:r>
        <w:rPr>
          <w:spacing w:val="-3"/>
        </w:rPr>
        <w:t>equilibrio </w:t>
      </w:r>
      <w:r>
        <w:rPr/>
        <w:t>o </w:t>
      </w:r>
      <w:r>
        <w:rPr>
          <w:spacing w:val="-3"/>
        </w:rPr>
        <w:t>superávit presupuestario computado en términos </w:t>
      </w:r>
      <w:r>
        <w:rPr/>
        <w:t>de </w:t>
      </w:r>
      <w:r>
        <w:rPr>
          <w:spacing w:val="-3"/>
        </w:rPr>
        <w:t>capacidad </w:t>
      </w:r>
      <w:r>
        <w:rPr/>
        <w:t>de </w:t>
      </w:r>
      <w:r>
        <w:rPr>
          <w:spacing w:val="-3"/>
        </w:rPr>
        <w:t>financiación </w:t>
      </w:r>
      <w:r>
        <w:rPr/>
        <w:t>de </w:t>
      </w:r>
      <w:r>
        <w:rPr>
          <w:spacing w:val="-3"/>
        </w:rPr>
        <w:t>acuerdo </w:t>
      </w:r>
      <w:r>
        <w:rPr>
          <w:spacing w:val="-2"/>
        </w:rPr>
        <w:t>con </w:t>
      </w:r>
      <w:r>
        <w:rPr>
          <w:spacing w:val="-3"/>
        </w:rPr>
        <w:t>la definición </w:t>
      </w:r>
      <w:r>
        <w:rPr/>
        <w:t>en el </w:t>
      </w:r>
      <w:r>
        <w:rPr>
          <w:spacing w:val="-3"/>
        </w:rPr>
        <w:t>SEC. </w:t>
      </w:r>
      <w:r>
        <w:rPr/>
        <w:t>Debido a la falta de una clara regulación normativa sobre el cálculo de la ratio de estabilidad presupuestaria, y siguiendo a numerosa doctrina, se puede entender que la Entidad se encontrará en situación de equilibrio cuando la suma de los ingresos no financieros sea igual a la suma de los gastos no financieros.</w:t>
      </w:r>
    </w:p>
    <w:p>
      <w:pPr>
        <w:pStyle w:val="BodyText"/>
        <w:spacing w:before="11"/>
        <w:rPr>
          <w:sz w:val="19"/>
        </w:rPr>
      </w:pPr>
    </w:p>
    <w:p>
      <w:pPr>
        <w:pStyle w:val="BodyText"/>
        <w:ind w:left="1407"/>
      </w:pPr>
      <w:r>
        <w:rPr/>
        <w:t>Aplicando este criterio, para el caso que nos ocupa, de la liquidación del Presupuesto del Ayuntamiento del</w:t>
      </w:r>
    </w:p>
    <w:p>
      <w:pPr>
        <w:pStyle w:val="BodyText"/>
        <w:ind w:left="699"/>
      </w:pPr>
      <w:r>
        <w:rPr>
          <w:b/>
        </w:rPr>
        <w:t>2024</w:t>
      </w:r>
      <w:r>
        <w:rPr/>
        <w:t>, la ratio (DRN (1-7)-ORN (1-7))/DRN (1-7) *100, supondría:</w:t>
      </w:r>
    </w:p>
    <w:p>
      <w:pPr>
        <w:pStyle w:val="BodyText"/>
      </w:pPr>
    </w:p>
    <w:tbl>
      <w:tblPr>
        <w:tblW w:w="0" w:type="auto"/>
        <w:jc w:val="left"/>
        <w:tblInd w:w="1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56"/>
        <w:gridCol w:w="2755"/>
      </w:tblGrid>
      <w:tr>
        <w:trPr>
          <w:trHeight w:val="530" w:hRule="atLeast"/>
        </w:trPr>
        <w:tc>
          <w:tcPr>
            <w:tcW w:w="8011" w:type="dxa"/>
            <w:gridSpan w:val="2"/>
          </w:tcPr>
          <w:p>
            <w:pPr>
              <w:pStyle w:val="TableParagraph"/>
              <w:spacing w:before="10"/>
              <w:rPr>
                <w:rFonts w:ascii="Times New Roman"/>
                <w:sz w:val="20"/>
              </w:rPr>
            </w:pPr>
          </w:p>
          <w:p>
            <w:pPr>
              <w:pStyle w:val="TableParagraph"/>
              <w:spacing w:before="0"/>
              <w:ind w:left="69"/>
              <w:rPr>
                <w:rFonts w:ascii="Times New Roman"/>
                <w:b/>
                <w:sz w:val="20"/>
              </w:rPr>
            </w:pPr>
            <w:r>
              <w:rPr>
                <w:rFonts w:ascii="Times New Roman"/>
                <w:b/>
                <w:sz w:val="20"/>
              </w:rPr>
              <w:t>ESTADO DE ESTABILIDAD PRESUPUESTARIA</w:t>
            </w:r>
          </w:p>
        </w:tc>
      </w:tr>
      <w:tr>
        <w:trPr>
          <w:trHeight w:val="275" w:hRule="atLeast"/>
        </w:trPr>
        <w:tc>
          <w:tcPr>
            <w:tcW w:w="5256" w:type="dxa"/>
          </w:tcPr>
          <w:p>
            <w:pPr>
              <w:pStyle w:val="TableParagraph"/>
              <w:spacing w:before="0"/>
              <w:ind w:left="69"/>
              <w:rPr>
                <w:rFonts w:ascii="Times New Roman"/>
                <w:b/>
                <w:sz w:val="20"/>
              </w:rPr>
            </w:pPr>
            <w:r>
              <w:rPr>
                <w:rFonts w:ascii="Times New Roman"/>
                <w:b/>
                <w:sz w:val="20"/>
              </w:rPr>
              <w:t>D.R.N. A 31/12 (CAPITULOS 1 A 7) (a)</w:t>
            </w:r>
          </w:p>
        </w:tc>
        <w:tc>
          <w:tcPr>
            <w:tcW w:w="2755" w:type="dxa"/>
          </w:tcPr>
          <w:p>
            <w:pPr>
              <w:pStyle w:val="TableParagraph"/>
              <w:spacing w:before="0"/>
              <w:ind w:left="801"/>
              <w:rPr>
                <w:rFonts w:ascii="Times New Roman"/>
                <w:sz w:val="20"/>
              </w:rPr>
            </w:pPr>
            <w:r>
              <w:rPr>
                <w:rFonts w:ascii="Times New Roman"/>
                <w:sz w:val="20"/>
              </w:rPr>
              <w:t>42.957.689,15</w:t>
            </w:r>
          </w:p>
        </w:tc>
      </w:tr>
      <w:tr>
        <w:trPr>
          <w:trHeight w:val="230" w:hRule="atLeast"/>
        </w:trPr>
        <w:tc>
          <w:tcPr>
            <w:tcW w:w="5256" w:type="dxa"/>
          </w:tcPr>
          <w:p>
            <w:pPr>
              <w:pStyle w:val="TableParagraph"/>
              <w:spacing w:line="210" w:lineRule="exact" w:before="0"/>
              <w:ind w:left="69"/>
              <w:rPr>
                <w:rFonts w:ascii="Times New Roman"/>
                <w:b/>
                <w:sz w:val="20"/>
              </w:rPr>
            </w:pPr>
            <w:r>
              <w:rPr>
                <w:rFonts w:ascii="Times New Roman"/>
                <w:b/>
                <w:sz w:val="20"/>
              </w:rPr>
              <w:t>O.R.N. A 31/12 (CAPITULOS 1 A 7 ) (b)</w:t>
            </w:r>
          </w:p>
        </w:tc>
        <w:tc>
          <w:tcPr>
            <w:tcW w:w="2755" w:type="dxa"/>
          </w:tcPr>
          <w:p>
            <w:pPr>
              <w:pStyle w:val="TableParagraph"/>
              <w:spacing w:line="210" w:lineRule="exact" w:before="0"/>
              <w:ind w:right="649"/>
              <w:jc w:val="right"/>
              <w:rPr>
                <w:rFonts w:ascii="Times New Roman"/>
                <w:sz w:val="20"/>
              </w:rPr>
            </w:pPr>
            <w:r>
              <w:rPr>
                <w:rFonts w:ascii="Times New Roman"/>
                <w:w w:val="95"/>
                <w:sz w:val="20"/>
              </w:rPr>
              <w:t>30.157.554,42</w:t>
            </w:r>
          </w:p>
        </w:tc>
      </w:tr>
      <w:tr>
        <w:trPr>
          <w:trHeight w:val="690" w:hRule="atLeast"/>
        </w:trPr>
        <w:tc>
          <w:tcPr>
            <w:tcW w:w="5256" w:type="dxa"/>
          </w:tcPr>
          <w:p>
            <w:pPr>
              <w:pStyle w:val="TableParagraph"/>
              <w:spacing w:before="10"/>
              <w:rPr>
                <w:rFonts w:ascii="Times New Roman"/>
                <w:sz w:val="20"/>
              </w:rPr>
            </w:pPr>
          </w:p>
          <w:p>
            <w:pPr>
              <w:pStyle w:val="TableParagraph"/>
              <w:spacing w:before="0"/>
              <w:ind w:left="69"/>
              <w:rPr>
                <w:rFonts w:ascii="Times New Roman"/>
                <w:b/>
                <w:sz w:val="20"/>
              </w:rPr>
            </w:pPr>
            <w:r>
              <w:rPr>
                <w:rFonts w:ascii="Times New Roman"/>
                <w:b/>
                <w:sz w:val="20"/>
              </w:rPr>
              <w:t>DIFERENCIA (a)-(b)=(c)</w:t>
            </w:r>
          </w:p>
        </w:tc>
        <w:tc>
          <w:tcPr>
            <w:tcW w:w="2755" w:type="dxa"/>
          </w:tcPr>
          <w:p>
            <w:pPr>
              <w:pStyle w:val="TableParagraph"/>
              <w:spacing w:before="0"/>
              <w:rPr>
                <w:rFonts w:ascii="Times New Roman"/>
                <w:sz w:val="20"/>
              </w:rPr>
            </w:pPr>
          </w:p>
          <w:p>
            <w:pPr>
              <w:pStyle w:val="TableParagraph"/>
              <w:spacing w:before="0"/>
              <w:ind w:right="615"/>
              <w:jc w:val="right"/>
              <w:rPr>
                <w:rFonts w:ascii="Times New Roman"/>
                <w:b/>
                <w:sz w:val="20"/>
              </w:rPr>
            </w:pPr>
            <w:r>
              <w:rPr>
                <w:rFonts w:ascii="Times New Roman"/>
                <w:b/>
                <w:w w:val="95"/>
                <w:sz w:val="20"/>
              </w:rPr>
              <w:t>-12.800.134,73</w:t>
            </w:r>
          </w:p>
        </w:tc>
      </w:tr>
    </w:tbl>
    <w:p>
      <w:pPr>
        <w:pStyle w:val="BodyText"/>
        <w:rPr>
          <w:sz w:val="22"/>
        </w:rPr>
      </w:pPr>
    </w:p>
    <w:p>
      <w:pPr>
        <w:pStyle w:val="BodyText"/>
        <w:spacing w:before="3"/>
        <w:rPr>
          <w:sz w:val="28"/>
        </w:rPr>
      </w:pPr>
    </w:p>
    <w:p>
      <w:pPr>
        <w:pStyle w:val="BodyText"/>
        <w:spacing w:before="1"/>
        <w:ind w:left="699" w:right="1694" w:firstLine="708"/>
      </w:pPr>
      <w:r>
        <w:rPr/>
        <w:t>El criterio general establecido en contabilidad nacional para la imputación de la mayor parte de los ingresos, y en concreto para los impuestos y cotizaciones sociales, es el devengo. No obstante, puede haber ingresos devengados en un ejercicio y que no llegan a recaudarse nunca. Con el fin de evitar el efecto sobre el déficit público de los ingresos devengados y no cobrados, el Reglamento (CE) Nº 2.516/2000 del Parlamento Europeo y del Consejo de 7 de noviembre de 2000, modificó los criterios inicialmente fijados por el Sistema Europeo de Cuentas, estableciéndose que la capacidad/necesidad de financiación de las administraciones públicas no puede verse afectada por los importes de impuestos y cotizaciones sociales cuya recaudación sea incierta.</w:t>
      </w:r>
    </w:p>
    <w:p>
      <w:pPr>
        <w:pStyle w:val="BodyText"/>
        <w:spacing w:before="120"/>
        <w:ind w:left="699" w:right="1980" w:firstLine="708"/>
      </w:pPr>
      <w:r>
        <w:rPr/>
        <w:t>En el Presupuesto, los ingresos de naturaleza fiscal de las Corporaciones Locales, así como los ingresos asimilados o directamente relacionados con los ingresos fiscales, se registran en los Capítulos 1 “Impuestos directos”, 2 “Impuestos indirectos” y 3 “Tasas y otros ingresos”.</w:t>
      </w:r>
    </w:p>
    <w:p>
      <w:pPr>
        <w:pStyle w:val="BodyText"/>
        <w:spacing w:before="119"/>
        <w:ind w:left="699" w:right="2216" w:firstLine="705"/>
        <w:jc w:val="both"/>
      </w:pPr>
      <w:r>
        <w:rPr/>
        <w:t>El registro en el Presupuesto de Ingresos se realiza en el momento en que se reconoce el derecho que puede ser, previo ó simultáneo al cobro, según estemos ante liquidaciones de contraído previo ó sin contraído previo, respectivamente.</w:t>
      </w:r>
    </w:p>
    <w:p>
      <w:pPr>
        <w:spacing w:after="0"/>
        <w:jc w:val="both"/>
        <w:sectPr>
          <w:pgSz w:w="11900" w:h="16840"/>
          <w:pgMar w:header="698" w:footer="0" w:top="1920" w:bottom="280" w:left="20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6"/>
        </w:rPr>
      </w:pPr>
    </w:p>
    <w:p>
      <w:pPr>
        <w:pStyle w:val="BodyText"/>
        <w:spacing w:before="90"/>
        <w:ind w:left="699" w:right="1708" w:firstLine="705"/>
      </w:pPr>
      <w:r>
        <w:rPr/>
        <w:pict>
          <v:shape style="position:absolute;margin-left:.597812pt;margin-top:-45.359646pt;width:23.8pt;height:582.2pt;mso-position-horizontal-relative:page;mso-position-vertical-relative:paragraph;z-index:-25274777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15711470763626204765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r>
        <w:rPr/>
        <w:t>Como consecuencia de la aprobación del citado Reglamento (CE) Nº 2.516/2000, en contabilidad nacional, el criterio para la imputación de los ingresos fiscales y asimilados o directamente relacionados con ellos y con efecto en el déficit público, es el de</w:t>
      </w:r>
      <w:r>
        <w:rPr>
          <w:spacing w:val="-2"/>
        </w:rPr>
        <w:t> </w:t>
      </w:r>
      <w:r>
        <w:rPr/>
        <w:t>caja.</w:t>
      </w:r>
    </w:p>
    <w:p>
      <w:pPr>
        <w:pStyle w:val="BodyText"/>
        <w:spacing w:before="122"/>
        <w:ind w:left="699" w:right="1829" w:firstLine="705"/>
      </w:pPr>
      <w:r>
        <w:rPr/>
        <w:pict>
          <v:line style="position:absolute;mso-position-horizontal-relative:page;mso-position-vertical-relative:paragraph;z-index:251672576" from="24.35pt,183.855696pt" to="24.35pt,26.445696pt" stroked="true" strokeweight=".53333pt" strokecolor="#0000ff">
            <v:stroke dashstyle="solid"/>
            <w10:wrap type="none"/>
          </v:line>
        </w:pict>
      </w:r>
      <w:r>
        <w:rPr/>
        <w:t>Por tanto, a efectos de la elaboración de las cuentas de contabilidad nacional, las rúbricas de impuestos se registran por el importe total realizado en caja en cada ejercicio, ya sea de corriente o de cerrados.</w:t>
      </w:r>
    </w:p>
    <w:p>
      <w:pPr>
        <w:pStyle w:val="BodyText"/>
        <w:spacing w:before="118"/>
        <w:ind w:left="699" w:right="1778" w:firstLine="708"/>
      </w:pPr>
      <w:r>
        <w:rPr/>
        <w:t>Este tratamiento se aplica a los ingresos contabilizados en los Capítulos 1, 2 y 3 del Presupuesto de Ingresos de cada Corporación Local, pudiendo hacerse extensivo a otros conceptos no mencionados expresamente cuando se observen diferencias significativas entre los derechos reconocidos y los cobros efectivos. Estos criterios se aplicarán igualmente a aquellos conceptos que, en términos de contabilidad nacional, tengan la consideración de impuestos y aparezcan registrados contablemente en otros capítulos del Presupuesto de Ingresos.</w:t>
      </w:r>
    </w:p>
    <w:p>
      <w:pPr>
        <w:pStyle w:val="BodyText"/>
        <w:spacing w:before="2"/>
        <w:ind w:left="699" w:right="1763" w:firstLine="708"/>
      </w:pPr>
      <w:r>
        <w:rPr/>
        <w:t>El ajuste derivado de la aplicación práctica del Reglamento (CE) Nº 2516/2000 viene determinado por la diferencia entre los derechos reconocidos por la Corporación Local y la recaudación total en caja correspondiente a dichos ingresos, tanto del presupuesto corriente como de ejercicios cerrados</w:t>
      </w:r>
    </w:p>
    <w:p>
      <w:pPr>
        <w:pStyle w:val="BodyText"/>
        <w:spacing w:before="119"/>
        <w:ind w:left="699" w:right="1974" w:firstLine="708"/>
      </w:pPr>
      <w:r>
        <w:rPr/>
        <w:t>A partir de lo señalado podemos concluir que en relación a los ingresos de los capítulo 1 a 3, el SEC 95 sigue el criterio de caja, por lo que, a la hora de analizar la estabilidad presupuestaria, deberá realizarse un ajuste negativo por importe de la diferencia entre la recaudación neta y los derechos reconocidos netos en los citados capítulos.</w:t>
      </w:r>
    </w:p>
    <w:p>
      <w:pPr>
        <w:pStyle w:val="BodyText"/>
      </w:pPr>
    </w:p>
    <w:p>
      <w:pPr>
        <w:pStyle w:val="BodyText"/>
        <w:spacing w:before="1"/>
        <w:rPr>
          <w:sz w:val="23"/>
        </w:rPr>
      </w:pPr>
    </w:p>
    <w:tbl>
      <w:tblPr>
        <w:tblW w:w="0" w:type="auto"/>
        <w:jc w:val="left"/>
        <w:tblInd w:w="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1"/>
        <w:gridCol w:w="1819"/>
        <w:gridCol w:w="2249"/>
        <w:gridCol w:w="1541"/>
      </w:tblGrid>
      <w:tr>
        <w:trPr>
          <w:trHeight w:val="256" w:hRule="atLeast"/>
        </w:trPr>
        <w:tc>
          <w:tcPr>
            <w:tcW w:w="1301" w:type="dxa"/>
          </w:tcPr>
          <w:p>
            <w:pPr>
              <w:pStyle w:val="TableParagraph"/>
              <w:spacing w:line="224" w:lineRule="exact" w:before="12"/>
              <w:ind w:left="205" w:right="202"/>
              <w:jc w:val="center"/>
              <w:rPr>
                <w:rFonts w:ascii="Times New Roman" w:hAnsi="Times New Roman"/>
                <w:b/>
                <w:sz w:val="20"/>
              </w:rPr>
            </w:pPr>
            <w:r>
              <w:rPr>
                <w:rFonts w:ascii="Times New Roman" w:hAnsi="Times New Roman"/>
                <w:b/>
                <w:sz w:val="20"/>
              </w:rPr>
              <w:t>Capítulo</w:t>
            </w:r>
          </w:p>
        </w:tc>
        <w:tc>
          <w:tcPr>
            <w:tcW w:w="1819" w:type="dxa"/>
          </w:tcPr>
          <w:p>
            <w:pPr>
              <w:pStyle w:val="TableParagraph"/>
              <w:spacing w:line="224" w:lineRule="exact" w:before="12"/>
              <w:ind w:left="672" w:right="663"/>
              <w:jc w:val="center"/>
              <w:rPr>
                <w:rFonts w:ascii="Times New Roman"/>
                <w:b/>
                <w:sz w:val="20"/>
              </w:rPr>
            </w:pPr>
            <w:r>
              <w:rPr>
                <w:rFonts w:ascii="Times New Roman"/>
                <w:b/>
                <w:sz w:val="20"/>
              </w:rPr>
              <w:t>DRN</w:t>
            </w:r>
          </w:p>
        </w:tc>
        <w:tc>
          <w:tcPr>
            <w:tcW w:w="2249" w:type="dxa"/>
          </w:tcPr>
          <w:p>
            <w:pPr>
              <w:pStyle w:val="TableParagraph"/>
              <w:spacing w:line="224" w:lineRule="exact" w:before="12"/>
              <w:ind w:left="575" w:right="570"/>
              <w:jc w:val="center"/>
              <w:rPr>
                <w:rFonts w:ascii="Times New Roman"/>
                <w:b/>
                <w:sz w:val="20"/>
              </w:rPr>
            </w:pPr>
            <w:r>
              <w:rPr>
                <w:rFonts w:ascii="Times New Roman"/>
                <w:b/>
                <w:sz w:val="20"/>
              </w:rPr>
              <w:t>Rec Neta</w:t>
            </w:r>
          </w:p>
        </w:tc>
        <w:tc>
          <w:tcPr>
            <w:tcW w:w="1541" w:type="dxa"/>
          </w:tcPr>
          <w:p>
            <w:pPr>
              <w:pStyle w:val="TableParagraph"/>
              <w:spacing w:line="224" w:lineRule="exact" w:before="12"/>
              <w:ind w:left="166" w:right="156"/>
              <w:jc w:val="center"/>
              <w:rPr>
                <w:rFonts w:ascii="Times New Roman"/>
                <w:b/>
                <w:sz w:val="20"/>
              </w:rPr>
            </w:pPr>
            <w:r>
              <w:rPr>
                <w:rFonts w:ascii="Times New Roman"/>
                <w:b/>
                <w:sz w:val="20"/>
              </w:rPr>
              <w:t>Ajuste</w:t>
            </w:r>
          </w:p>
        </w:tc>
      </w:tr>
      <w:tr>
        <w:trPr>
          <w:trHeight w:val="254" w:hRule="atLeast"/>
        </w:trPr>
        <w:tc>
          <w:tcPr>
            <w:tcW w:w="1301" w:type="dxa"/>
          </w:tcPr>
          <w:p>
            <w:pPr>
              <w:pStyle w:val="TableParagraph"/>
              <w:spacing w:line="222" w:lineRule="exact" w:before="12"/>
              <w:ind w:left="3"/>
              <w:jc w:val="center"/>
              <w:rPr>
                <w:rFonts w:ascii="Times New Roman"/>
                <w:sz w:val="20"/>
              </w:rPr>
            </w:pPr>
            <w:r>
              <w:rPr>
                <w:rFonts w:ascii="Times New Roman"/>
                <w:w w:val="99"/>
                <w:sz w:val="20"/>
              </w:rPr>
              <w:t>I</w:t>
            </w:r>
          </w:p>
        </w:tc>
        <w:tc>
          <w:tcPr>
            <w:tcW w:w="1819" w:type="dxa"/>
          </w:tcPr>
          <w:p>
            <w:pPr>
              <w:pStyle w:val="TableParagraph"/>
              <w:spacing w:line="222" w:lineRule="exact" w:before="12"/>
              <w:ind w:left="333"/>
              <w:rPr>
                <w:rFonts w:ascii="Times New Roman"/>
                <w:sz w:val="20"/>
              </w:rPr>
            </w:pPr>
            <w:r>
              <w:rPr>
                <w:rFonts w:ascii="Times New Roman"/>
                <w:sz w:val="20"/>
              </w:rPr>
              <w:t>11.851.082,47</w:t>
            </w:r>
          </w:p>
        </w:tc>
        <w:tc>
          <w:tcPr>
            <w:tcW w:w="2249" w:type="dxa"/>
          </w:tcPr>
          <w:p>
            <w:pPr>
              <w:pStyle w:val="TableParagraph"/>
              <w:spacing w:line="222" w:lineRule="exact" w:before="12"/>
              <w:ind w:left="578" w:right="570"/>
              <w:jc w:val="center"/>
              <w:rPr>
                <w:rFonts w:ascii="Times New Roman"/>
                <w:sz w:val="20"/>
              </w:rPr>
            </w:pPr>
            <w:r>
              <w:rPr>
                <w:rFonts w:ascii="Times New Roman"/>
                <w:sz w:val="20"/>
              </w:rPr>
              <w:t>9.450.589,15</w:t>
            </w:r>
          </w:p>
        </w:tc>
        <w:tc>
          <w:tcPr>
            <w:tcW w:w="1541" w:type="dxa"/>
          </w:tcPr>
          <w:p>
            <w:pPr>
              <w:pStyle w:val="TableParagraph"/>
              <w:spacing w:line="222" w:lineRule="exact" w:before="12"/>
              <w:ind w:left="168" w:right="156"/>
              <w:jc w:val="center"/>
              <w:rPr>
                <w:rFonts w:ascii="Times New Roman"/>
                <w:sz w:val="20"/>
              </w:rPr>
            </w:pPr>
            <w:r>
              <w:rPr>
                <w:rFonts w:ascii="Times New Roman"/>
                <w:sz w:val="20"/>
              </w:rPr>
              <w:t>- 2.400.493,32</w:t>
            </w:r>
          </w:p>
        </w:tc>
      </w:tr>
      <w:tr>
        <w:trPr>
          <w:trHeight w:val="254" w:hRule="atLeast"/>
        </w:trPr>
        <w:tc>
          <w:tcPr>
            <w:tcW w:w="1301" w:type="dxa"/>
          </w:tcPr>
          <w:p>
            <w:pPr>
              <w:pStyle w:val="TableParagraph"/>
              <w:spacing w:line="222" w:lineRule="exact" w:before="12"/>
              <w:ind w:left="205" w:right="202"/>
              <w:jc w:val="center"/>
              <w:rPr>
                <w:rFonts w:ascii="Times New Roman"/>
                <w:sz w:val="20"/>
              </w:rPr>
            </w:pPr>
            <w:r>
              <w:rPr>
                <w:rFonts w:ascii="Times New Roman"/>
                <w:sz w:val="20"/>
              </w:rPr>
              <w:t>II</w:t>
            </w:r>
          </w:p>
        </w:tc>
        <w:tc>
          <w:tcPr>
            <w:tcW w:w="1819" w:type="dxa"/>
          </w:tcPr>
          <w:p>
            <w:pPr>
              <w:pStyle w:val="TableParagraph"/>
              <w:spacing w:line="222" w:lineRule="exact" w:before="12"/>
              <w:ind w:left="383"/>
              <w:rPr>
                <w:rFonts w:ascii="Times New Roman"/>
                <w:sz w:val="20"/>
              </w:rPr>
            </w:pPr>
            <w:r>
              <w:rPr>
                <w:rFonts w:ascii="Times New Roman"/>
                <w:sz w:val="20"/>
              </w:rPr>
              <w:t>6.916.964,91</w:t>
            </w:r>
          </w:p>
        </w:tc>
        <w:tc>
          <w:tcPr>
            <w:tcW w:w="2249" w:type="dxa"/>
          </w:tcPr>
          <w:p>
            <w:pPr>
              <w:pStyle w:val="TableParagraph"/>
              <w:spacing w:line="222" w:lineRule="exact" w:before="12"/>
              <w:ind w:left="578" w:right="570"/>
              <w:jc w:val="center"/>
              <w:rPr>
                <w:rFonts w:ascii="Times New Roman"/>
                <w:sz w:val="20"/>
              </w:rPr>
            </w:pPr>
            <w:r>
              <w:rPr>
                <w:rFonts w:ascii="Times New Roman"/>
                <w:sz w:val="20"/>
              </w:rPr>
              <w:t>6.916.964,91</w:t>
            </w:r>
          </w:p>
        </w:tc>
        <w:tc>
          <w:tcPr>
            <w:tcW w:w="1541" w:type="dxa"/>
          </w:tcPr>
          <w:p>
            <w:pPr>
              <w:pStyle w:val="TableParagraph"/>
              <w:spacing w:line="222" w:lineRule="exact" w:before="12"/>
              <w:ind w:left="7"/>
              <w:jc w:val="center"/>
              <w:rPr>
                <w:rFonts w:ascii="Times New Roman"/>
                <w:sz w:val="20"/>
              </w:rPr>
            </w:pPr>
            <w:r>
              <w:rPr>
                <w:rFonts w:ascii="Times New Roman"/>
                <w:w w:val="99"/>
                <w:sz w:val="20"/>
              </w:rPr>
              <w:t>0</w:t>
            </w:r>
          </w:p>
        </w:tc>
      </w:tr>
      <w:tr>
        <w:trPr>
          <w:trHeight w:val="256" w:hRule="atLeast"/>
        </w:trPr>
        <w:tc>
          <w:tcPr>
            <w:tcW w:w="1301" w:type="dxa"/>
          </w:tcPr>
          <w:p>
            <w:pPr>
              <w:pStyle w:val="TableParagraph"/>
              <w:spacing w:line="222" w:lineRule="exact" w:before="14"/>
              <w:ind w:left="210" w:right="202"/>
              <w:jc w:val="center"/>
              <w:rPr>
                <w:rFonts w:ascii="Times New Roman"/>
                <w:sz w:val="20"/>
              </w:rPr>
            </w:pPr>
            <w:r>
              <w:rPr>
                <w:rFonts w:ascii="Times New Roman"/>
                <w:sz w:val="20"/>
              </w:rPr>
              <w:t>III (Tasas)</w:t>
            </w:r>
          </w:p>
        </w:tc>
        <w:tc>
          <w:tcPr>
            <w:tcW w:w="1819" w:type="dxa"/>
          </w:tcPr>
          <w:p>
            <w:pPr>
              <w:pStyle w:val="TableParagraph"/>
              <w:spacing w:line="222" w:lineRule="exact" w:before="14"/>
              <w:ind w:left="383"/>
              <w:rPr>
                <w:rFonts w:ascii="Times New Roman"/>
                <w:sz w:val="20"/>
              </w:rPr>
            </w:pPr>
            <w:r>
              <w:rPr>
                <w:rFonts w:ascii="Times New Roman"/>
                <w:sz w:val="20"/>
              </w:rPr>
              <w:t>5.459.105,06</w:t>
            </w:r>
          </w:p>
        </w:tc>
        <w:tc>
          <w:tcPr>
            <w:tcW w:w="2249" w:type="dxa"/>
          </w:tcPr>
          <w:p>
            <w:pPr>
              <w:pStyle w:val="TableParagraph"/>
              <w:spacing w:line="222" w:lineRule="exact" w:before="14"/>
              <w:ind w:left="578" w:right="570"/>
              <w:jc w:val="center"/>
              <w:rPr>
                <w:rFonts w:ascii="Times New Roman"/>
                <w:sz w:val="20"/>
              </w:rPr>
            </w:pPr>
            <w:r>
              <w:rPr>
                <w:rFonts w:ascii="Times New Roman"/>
                <w:sz w:val="20"/>
              </w:rPr>
              <w:t>4.643.350,48</w:t>
            </w:r>
          </w:p>
        </w:tc>
        <w:tc>
          <w:tcPr>
            <w:tcW w:w="1541" w:type="dxa"/>
          </w:tcPr>
          <w:p>
            <w:pPr>
              <w:pStyle w:val="TableParagraph"/>
              <w:spacing w:line="222" w:lineRule="exact" w:before="14"/>
              <w:ind w:left="166" w:right="156"/>
              <w:jc w:val="center"/>
              <w:rPr>
                <w:rFonts w:ascii="Times New Roman"/>
                <w:sz w:val="20"/>
              </w:rPr>
            </w:pPr>
            <w:r>
              <w:rPr>
                <w:rFonts w:ascii="Times New Roman"/>
                <w:sz w:val="20"/>
              </w:rPr>
              <w:t>- 815.754,58</w:t>
            </w:r>
          </w:p>
        </w:tc>
      </w:tr>
      <w:tr>
        <w:trPr>
          <w:trHeight w:val="460" w:hRule="atLeast"/>
        </w:trPr>
        <w:tc>
          <w:tcPr>
            <w:tcW w:w="1301" w:type="dxa"/>
          </w:tcPr>
          <w:p>
            <w:pPr>
              <w:pStyle w:val="TableParagraph"/>
              <w:spacing w:before="115"/>
              <w:ind w:left="208" w:right="202"/>
              <w:jc w:val="center"/>
              <w:rPr>
                <w:rFonts w:ascii="Times New Roman"/>
                <w:sz w:val="20"/>
              </w:rPr>
            </w:pPr>
            <w:r>
              <w:rPr>
                <w:rFonts w:ascii="Times New Roman"/>
                <w:sz w:val="20"/>
              </w:rPr>
              <w:t>TOTAL</w:t>
            </w:r>
          </w:p>
        </w:tc>
        <w:tc>
          <w:tcPr>
            <w:tcW w:w="1819" w:type="dxa"/>
          </w:tcPr>
          <w:p>
            <w:pPr>
              <w:pStyle w:val="TableParagraph"/>
              <w:spacing w:before="0"/>
              <w:rPr>
                <w:rFonts w:ascii="Times New Roman"/>
                <w:sz w:val="18"/>
              </w:rPr>
            </w:pPr>
          </w:p>
        </w:tc>
        <w:tc>
          <w:tcPr>
            <w:tcW w:w="2249" w:type="dxa"/>
          </w:tcPr>
          <w:p>
            <w:pPr>
              <w:pStyle w:val="TableParagraph"/>
              <w:spacing w:before="0"/>
              <w:rPr>
                <w:rFonts w:ascii="Times New Roman"/>
                <w:sz w:val="18"/>
              </w:rPr>
            </w:pPr>
          </w:p>
        </w:tc>
        <w:tc>
          <w:tcPr>
            <w:tcW w:w="1541" w:type="dxa"/>
          </w:tcPr>
          <w:p>
            <w:pPr>
              <w:pStyle w:val="TableParagraph"/>
              <w:spacing w:before="0"/>
              <w:ind w:left="166" w:right="156"/>
              <w:jc w:val="center"/>
              <w:rPr>
                <w:rFonts w:ascii="Times New Roman"/>
                <w:sz w:val="20"/>
              </w:rPr>
            </w:pPr>
            <w:r>
              <w:rPr>
                <w:rFonts w:ascii="Times New Roman"/>
                <w:sz w:val="20"/>
              </w:rPr>
              <w:t>- 3.216.247,9</w:t>
            </w:r>
          </w:p>
        </w:tc>
      </w:tr>
    </w:tbl>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Heading1"/>
        <w:spacing w:before="158"/>
        <w:ind w:left="700"/>
      </w:pPr>
      <w:r>
        <w:rPr/>
        <w:t>TOTAL DERECHOS NO FINANCIEROS AJUSTADOS</w:t>
      </w:r>
    </w:p>
    <w:p>
      <w:pPr>
        <w:pStyle w:val="BodyText"/>
        <w:spacing w:before="3"/>
        <w:rPr>
          <w:b/>
          <w:sz w:val="5"/>
        </w:rPr>
      </w:pPr>
    </w:p>
    <w:tbl>
      <w:tblPr>
        <w:tblW w:w="0" w:type="auto"/>
        <w:jc w:val="left"/>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6"/>
        <w:gridCol w:w="3048"/>
        <w:gridCol w:w="1642"/>
        <w:gridCol w:w="1892"/>
        <w:gridCol w:w="2605"/>
      </w:tblGrid>
      <w:tr>
        <w:trPr>
          <w:trHeight w:val="930" w:hRule="atLeast"/>
        </w:trPr>
        <w:tc>
          <w:tcPr>
            <w:tcW w:w="1296" w:type="dxa"/>
          </w:tcPr>
          <w:p>
            <w:pPr>
              <w:pStyle w:val="TableParagraph"/>
              <w:spacing w:before="5"/>
              <w:rPr>
                <w:rFonts w:ascii="Times New Roman"/>
                <w:b/>
                <w:sz w:val="30"/>
              </w:rPr>
            </w:pPr>
          </w:p>
          <w:p>
            <w:pPr>
              <w:pStyle w:val="TableParagraph"/>
              <w:spacing w:before="0"/>
              <w:ind w:left="216" w:right="197"/>
              <w:jc w:val="center"/>
              <w:rPr>
                <w:rFonts w:ascii="Times New Roman" w:hAnsi="Times New Roman"/>
                <w:b/>
                <w:sz w:val="20"/>
              </w:rPr>
            </w:pPr>
            <w:r>
              <w:rPr>
                <w:rFonts w:ascii="Times New Roman" w:hAnsi="Times New Roman"/>
                <w:b/>
                <w:sz w:val="20"/>
              </w:rPr>
              <w:t>Capítulos</w:t>
            </w:r>
          </w:p>
        </w:tc>
        <w:tc>
          <w:tcPr>
            <w:tcW w:w="3048" w:type="dxa"/>
          </w:tcPr>
          <w:p>
            <w:pPr>
              <w:pStyle w:val="TableParagraph"/>
              <w:spacing w:before="5"/>
              <w:rPr>
                <w:rFonts w:ascii="Times New Roman"/>
                <w:b/>
                <w:sz w:val="30"/>
              </w:rPr>
            </w:pPr>
          </w:p>
          <w:p>
            <w:pPr>
              <w:pStyle w:val="TableParagraph"/>
              <w:spacing w:before="0"/>
              <w:ind w:left="165"/>
              <w:rPr>
                <w:rFonts w:ascii="Times New Roman"/>
                <w:b/>
                <w:sz w:val="20"/>
              </w:rPr>
            </w:pPr>
            <w:r>
              <w:rPr>
                <w:rFonts w:ascii="Times New Roman"/>
                <w:b/>
                <w:sz w:val="20"/>
              </w:rPr>
              <w:t>a) Derechos reconocidos a 31/12</w:t>
            </w:r>
          </w:p>
        </w:tc>
        <w:tc>
          <w:tcPr>
            <w:tcW w:w="1642" w:type="dxa"/>
          </w:tcPr>
          <w:p>
            <w:pPr>
              <w:pStyle w:val="TableParagraph"/>
              <w:spacing w:before="5"/>
              <w:rPr>
                <w:rFonts w:ascii="Times New Roman"/>
                <w:b/>
                <w:sz w:val="20"/>
              </w:rPr>
            </w:pPr>
          </w:p>
          <w:p>
            <w:pPr>
              <w:pStyle w:val="TableParagraph"/>
              <w:spacing w:before="0"/>
              <w:ind w:left="448" w:right="350" w:hanging="58"/>
              <w:rPr>
                <w:rFonts w:ascii="Times New Roman"/>
                <w:b/>
                <w:sz w:val="20"/>
              </w:rPr>
            </w:pPr>
            <w:r>
              <w:rPr>
                <w:rFonts w:ascii="Times New Roman"/>
                <w:b/>
                <w:sz w:val="20"/>
              </w:rPr>
              <w:t>b) Ajustes positivos</w:t>
            </w:r>
          </w:p>
        </w:tc>
        <w:tc>
          <w:tcPr>
            <w:tcW w:w="1892" w:type="dxa"/>
          </w:tcPr>
          <w:p>
            <w:pPr>
              <w:pStyle w:val="TableParagraph"/>
              <w:spacing w:before="5"/>
              <w:rPr>
                <w:rFonts w:ascii="Times New Roman"/>
                <w:b/>
                <w:sz w:val="30"/>
              </w:rPr>
            </w:pPr>
          </w:p>
          <w:p>
            <w:pPr>
              <w:pStyle w:val="TableParagraph"/>
              <w:spacing w:before="0"/>
              <w:ind w:left="99"/>
              <w:rPr>
                <w:rFonts w:ascii="Times New Roman"/>
                <w:b/>
                <w:sz w:val="20"/>
              </w:rPr>
            </w:pPr>
            <w:r>
              <w:rPr>
                <w:rFonts w:ascii="Times New Roman"/>
                <w:b/>
                <w:sz w:val="20"/>
              </w:rPr>
              <w:t>c) Ajustes negativos</w:t>
            </w:r>
          </w:p>
        </w:tc>
        <w:tc>
          <w:tcPr>
            <w:tcW w:w="2605" w:type="dxa"/>
          </w:tcPr>
          <w:p>
            <w:pPr>
              <w:pStyle w:val="TableParagraph"/>
              <w:spacing w:before="5"/>
              <w:rPr>
                <w:rFonts w:ascii="Times New Roman"/>
                <w:b/>
                <w:sz w:val="20"/>
              </w:rPr>
            </w:pPr>
          </w:p>
          <w:p>
            <w:pPr>
              <w:pStyle w:val="TableParagraph"/>
              <w:spacing w:before="0"/>
              <w:ind w:left="396" w:right="363" w:firstLine="45"/>
              <w:rPr>
                <w:rFonts w:ascii="Times New Roman"/>
                <w:b/>
                <w:sz w:val="20"/>
              </w:rPr>
            </w:pPr>
            <w:r>
              <w:rPr>
                <w:rFonts w:ascii="Times New Roman"/>
                <w:b/>
                <w:sz w:val="20"/>
              </w:rPr>
              <w:t>d) Total Ingresos no financieros ajustados</w:t>
            </w:r>
          </w:p>
        </w:tc>
      </w:tr>
      <w:tr>
        <w:trPr>
          <w:trHeight w:val="460" w:hRule="atLeast"/>
        </w:trPr>
        <w:tc>
          <w:tcPr>
            <w:tcW w:w="1296" w:type="dxa"/>
          </w:tcPr>
          <w:p>
            <w:pPr>
              <w:pStyle w:val="TableParagraph"/>
              <w:spacing w:before="115"/>
              <w:ind w:left="216" w:right="192"/>
              <w:jc w:val="center"/>
              <w:rPr>
                <w:rFonts w:ascii="Times New Roman"/>
                <w:b/>
                <w:sz w:val="20"/>
              </w:rPr>
            </w:pPr>
            <w:r>
              <w:rPr>
                <w:rFonts w:ascii="Times New Roman"/>
                <w:b/>
                <w:sz w:val="20"/>
              </w:rPr>
              <w:t>Total</w:t>
            </w:r>
          </w:p>
        </w:tc>
        <w:tc>
          <w:tcPr>
            <w:tcW w:w="3048" w:type="dxa"/>
          </w:tcPr>
          <w:p>
            <w:pPr>
              <w:pStyle w:val="TableParagraph"/>
              <w:spacing w:before="0"/>
              <w:ind w:left="930" w:right="908"/>
              <w:jc w:val="center"/>
              <w:rPr>
                <w:rFonts w:ascii="Times New Roman"/>
                <w:sz w:val="20"/>
              </w:rPr>
            </w:pPr>
            <w:r>
              <w:rPr>
                <w:rFonts w:ascii="Times New Roman"/>
                <w:sz w:val="20"/>
              </w:rPr>
              <w:t>42.957.689,15</w:t>
            </w:r>
          </w:p>
        </w:tc>
        <w:tc>
          <w:tcPr>
            <w:tcW w:w="1642" w:type="dxa"/>
          </w:tcPr>
          <w:p>
            <w:pPr>
              <w:pStyle w:val="TableParagraph"/>
              <w:spacing w:before="115"/>
              <w:ind w:left="625" w:right="606"/>
              <w:jc w:val="center"/>
              <w:rPr>
                <w:rFonts w:ascii="Times New Roman"/>
                <w:b/>
                <w:sz w:val="20"/>
              </w:rPr>
            </w:pPr>
            <w:r>
              <w:rPr>
                <w:rFonts w:ascii="Times New Roman"/>
                <w:b/>
                <w:sz w:val="20"/>
              </w:rPr>
              <w:t>0,00</w:t>
            </w:r>
          </w:p>
        </w:tc>
        <w:tc>
          <w:tcPr>
            <w:tcW w:w="1892" w:type="dxa"/>
          </w:tcPr>
          <w:p>
            <w:pPr>
              <w:pStyle w:val="TableParagraph"/>
              <w:spacing w:before="0"/>
              <w:ind w:left="391" w:right="373"/>
              <w:jc w:val="center"/>
              <w:rPr>
                <w:rFonts w:ascii="Times New Roman"/>
                <w:sz w:val="20"/>
              </w:rPr>
            </w:pPr>
            <w:r>
              <w:rPr>
                <w:rFonts w:ascii="Times New Roman"/>
                <w:sz w:val="20"/>
              </w:rPr>
              <w:t>- 3.216.247,9</w:t>
            </w:r>
          </w:p>
        </w:tc>
        <w:tc>
          <w:tcPr>
            <w:tcW w:w="2605" w:type="dxa"/>
          </w:tcPr>
          <w:p>
            <w:pPr>
              <w:pStyle w:val="TableParagraph"/>
              <w:spacing w:before="115"/>
              <w:ind w:left="725"/>
              <w:rPr>
                <w:rFonts w:ascii="Times New Roman"/>
                <w:b/>
                <w:sz w:val="20"/>
              </w:rPr>
            </w:pPr>
            <w:r>
              <w:rPr>
                <w:rFonts w:ascii="Times New Roman"/>
                <w:b/>
                <w:sz w:val="20"/>
              </w:rPr>
              <w:t>39.741.441,25</w:t>
            </w:r>
          </w:p>
        </w:tc>
      </w:tr>
    </w:tbl>
    <w:p>
      <w:pPr>
        <w:pStyle w:val="BodyText"/>
        <w:spacing w:before="6"/>
        <w:rPr>
          <w:b/>
          <w:sz w:val="30"/>
        </w:rPr>
      </w:pPr>
    </w:p>
    <w:p>
      <w:pPr>
        <w:spacing w:before="0"/>
        <w:ind w:left="983" w:right="1882" w:firstLine="0"/>
        <w:jc w:val="left"/>
        <w:rPr>
          <w:b/>
          <w:sz w:val="20"/>
        </w:rPr>
      </w:pPr>
      <w:r>
        <w:rPr>
          <w:b/>
          <w:sz w:val="20"/>
        </w:rPr>
        <w:t>OTROS AJUSTES: Anualmente, se computará el incremento en el saldo de la cuenta 413 “Acreedores por operaciones pendientes de aplicar a presupuesto” que recoge las obligaciones derivadas de gastos realizados o bienes y servicios recibidos, para los que no se ha producido su aplicación a presupuesto siendo procedente la misma.</w:t>
      </w:r>
    </w:p>
    <w:p>
      <w:pPr>
        <w:pStyle w:val="BodyText"/>
        <w:rPr>
          <w:b/>
          <w:sz w:val="22"/>
        </w:rPr>
      </w:pPr>
    </w:p>
    <w:p>
      <w:pPr>
        <w:pStyle w:val="BodyText"/>
        <w:spacing w:before="9"/>
        <w:rPr>
          <w:b/>
          <w:sz w:val="18"/>
        </w:rPr>
      </w:pPr>
    </w:p>
    <w:p>
      <w:pPr>
        <w:spacing w:before="1"/>
        <w:ind w:left="983" w:right="0" w:firstLine="0"/>
        <w:jc w:val="left"/>
        <w:rPr>
          <w:b/>
          <w:sz w:val="20"/>
        </w:rPr>
      </w:pPr>
      <w:r>
        <w:rPr>
          <w:b/>
          <w:sz w:val="20"/>
        </w:rPr>
        <w:t>Justificación del ajuste</w:t>
      </w:r>
    </w:p>
    <w:p>
      <w:pPr>
        <w:spacing w:after="0"/>
        <w:jc w:val="left"/>
        <w:rPr>
          <w:sz w:val="20"/>
        </w:rPr>
        <w:sectPr>
          <w:pgSz w:w="11900" w:h="16840"/>
          <w:pgMar w:header="698" w:footer="0" w:top="1920" w:bottom="280" w:left="200" w:right="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sz w:val="16"/>
        </w:rPr>
      </w:pPr>
    </w:p>
    <w:p>
      <w:pPr>
        <w:pStyle w:val="BodyText"/>
        <w:spacing w:before="90"/>
        <w:ind w:left="983" w:right="1711" w:firstLine="424"/>
      </w:pPr>
      <w:r>
        <w:rPr/>
        <w:pict>
          <v:line style="position:absolute;mso-position-horizontal-relative:page;mso-position-vertical-relative:paragraph;z-index:251674624" from="24.35pt,222.815693pt" to="24.35pt,65.405693pt" stroked="true" strokeweight=".53333pt" strokecolor="#0000ff">
            <v:stroke dashstyle="solid"/>
            <w10:wrap type="none"/>
          </v:line>
        </w:pict>
      </w:r>
      <w:r>
        <w:rPr/>
        <w:pict>
          <v:shape style="position:absolute;margin-left:.597812pt;margin-top:-45.359646pt;width:23.8pt;height:582.2pt;mso-position-horizontal-relative:page;mso-position-vertical-relative:paragraph;z-index:-25274572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15711470763626204765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r>
        <w:rPr/>
        <w:t>Desde el punto de vista de la contabilidad nacional, el gasto devengado en el ejercicio n debe considerarse, en contabilidad presupuestaria, al no haberse dictado el acto administrativo por el que se reconoce la obligación, dicho gasto no será aplicado presupuestariamente hasta el ejercicio n+1. En consecuencia, en el año n habrá que realizar un ajuste de mayor déficit. Al año siguiente, cuando dicho gasto se impute a presupuesto, se practicará un ajuste en sentido inverso, disminuyendo el déficit en contabilidad nacional con relación al déficit presupuestario.</w:t>
      </w:r>
    </w:p>
    <w:p>
      <w:pPr>
        <w:pStyle w:val="Heading1"/>
        <w:spacing w:before="120"/>
      </w:pPr>
      <w:r>
        <w:rPr/>
        <w:t>Conclusión</w:t>
      </w:r>
    </w:p>
    <w:p>
      <w:pPr>
        <w:pStyle w:val="BodyText"/>
        <w:spacing w:before="121"/>
        <w:ind w:left="983" w:right="1756"/>
      </w:pPr>
      <w:r>
        <w:rPr/>
        <w:t>A partir de lo señalado el ajuste a realizar respondería a la modificación del saldo de la cuenta 413. No obstante a lo anterior, en el presente caso el ajuste es positivo. En este sentido la comparación se realizará entre la dotación a fin de ejercicio y lo que había a inicio de dicho ejercicio. En este sentido el criterio que ha seguido esta intervención para realizar el asiento directo es incluir el saldo de aquellas facturas que cuentan con conformidad del área y que determina que el servicio o trabajo está prestado. En conclusión, forman parte de la misma las facturas que hayan quedado pendientes de reconocer a la finalización del ejercicio con registro de entrada en la entidad y que poseen conformidad acreditativa de que los trabajos se han realizado y el saldo de la cuenta de pagos pendientes de aplicación. Por tanto, el ajuste a practicar se acomoda al siguiente detalle:</w:t>
      </w:r>
    </w:p>
    <w:p>
      <w:pPr>
        <w:pStyle w:val="BodyText"/>
      </w:pPr>
    </w:p>
    <w:p>
      <w:pPr>
        <w:pStyle w:val="BodyText"/>
        <w:spacing w:before="11"/>
      </w:pPr>
    </w:p>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3401"/>
        <w:gridCol w:w="1620"/>
        <w:gridCol w:w="2040"/>
        <w:gridCol w:w="1740"/>
      </w:tblGrid>
      <w:tr>
        <w:trPr>
          <w:trHeight w:val="700" w:hRule="atLeast"/>
        </w:trPr>
        <w:tc>
          <w:tcPr>
            <w:tcW w:w="1080" w:type="dxa"/>
          </w:tcPr>
          <w:p>
            <w:pPr>
              <w:pStyle w:val="TableParagraph"/>
              <w:spacing w:before="175"/>
              <w:ind w:left="352"/>
              <w:rPr>
                <w:rFonts w:ascii="Times New Roman"/>
                <w:sz w:val="20"/>
              </w:rPr>
            </w:pPr>
            <w:r>
              <w:rPr>
                <w:rFonts w:ascii="Times New Roman"/>
                <w:sz w:val="20"/>
              </w:rPr>
              <w:t>Cuenta</w:t>
            </w:r>
          </w:p>
        </w:tc>
        <w:tc>
          <w:tcPr>
            <w:tcW w:w="3401" w:type="dxa"/>
          </w:tcPr>
          <w:p>
            <w:pPr>
              <w:pStyle w:val="TableParagraph"/>
              <w:spacing w:before="175"/>
              <w:ind w:left="352"/>
              <w:rPr>
                <w:rFonts w:ascii="Times New Roman" w:hAnsi="Times New Roman"/>
                <w:sz w:val="20"/>
              </w:rPr>
            </w:pPr>
            <w:r>
              <w:rPr>
                <w:rFonts w:ascii="Times New Roman" w:hAnsi="Times New Roman"/>
                <w:sz w:val="20"/>
              </w:rPr>
              <w:t>Descripción</w:t>
            </w:r>
          </w:p>
        </w:tc>
        <w:tc>
          <w:tcPr>
            <w:tcW w:w="1620" w:type="dxa"/>
          </w:tcPr>
          <w:p>
            <w:pPr>
              <w:pStyle w:val="TableParagraph"/>
              <w:spacing w:before="175"/>
              <w:ind w:left="60" w:right="53"/>
              <w:jc w:val="center"/>
              <w:rPr>
                <w:rFonts w:ascii="Times New Roman" w:hAnsi="Times New Roman"/>
                <w:sz w:val="20"/>
              </w:rPr>
            </w:pPr>
            <w:r>
              <w:rPr>
                <w:rFonts w:ascii="Times New Roman" w:hAnsi="Times New Roman"/>
                <w:sz w:val="20"/>
              </w:rPr>
              <w:t>a)Saldo inicio año</w:t>
            </w:r>
          </w:p>
        </w:tc>
        <w:tc>
          <w:tcPr>
            <w:tcW w:w="2040" w:type="dxa"/>
          </w:tcPr>
          <w:p>
            <w:pPr>
              <w:pStyle w:val="TableParagraph"/>
              <w:spacing w:before="0"/>
              <w:ind w:left="621"/>
              <w:rPr>
                <w:rFonts w:ascii="Times New Roman"/>
                <w:sz w:val="20"/>
              </w:rPr>
            </w:pPr>
            <w:r>
              <w:rPr>
                <w:rFonts w:ascii="Times New Roman"/>
                <w:sz w:val="20"/>
              </w:rPr>
              <w:t>a) Saldo final</w:t>
            </w:r>
          </w:p>
          <w:p>
            <w:pPr>
              <w:pStyle w:val="TableParagraph"/>
              <w:spacing w:before="120"/>
              <w:ind w:left="997" w:right="704"/>
              <w:jc w:val="center"/>
              <w:rPr>
                <w:rFonts w:ascii="Times New Roman" w:hAnsi="Times New Roman"/>
                <w:sz w:val="20"/>
              </w:rPr>
            </w:pPr>
            <w:r>
              <w:rPr>
                <w:rFonts w:ascii="Times New Roman" w:hAnsi="Times New Roman"/>
                <w:sz w:val="20"/>
              </w:rPr>
              <w:t>año</w:t>
            </w:r>
          </w:p>
        </w:tc>
        <w:tc>
          <w:tcPr>
            <w:tcW w:w="1740" w:type="dxa"/>
          </w:tcPr>
          <w:p>
            <w:pPr>
              <w:pStyle w:val="TableParagraph"/>
              <w:spacing w:before="175"/>
              <w:ind w:left="352"/>
              <w:rPr>
                <w:rFonts w:ascii="Times New Roman"/>
                <w:sz w:val="20"/>
              </w:rPr>
            </w:pPr>
            <w:r>
              <w:rPr>
                <w:rFonts w:ascii="Times New Roman"/>
                <w:sz w:val="20"/>
              </w:rPr>
              <w:t>c) Ajuste</w:t>
            </w:r>
          </w:p>
        </w:tc>
      </w:tr>
      <w:tr>
        <w:trPr>
          <w:trHeight w:val="765" w:hRule="atLeast"/>
        </w:trPr>
        <w:tc>
          <w:tcPr>
            <w:tcW w:w="1080" w:type="dxa"/>
          </w:tcPr>
          <w:p>
            <w:pPr>
              <w:pStyle w:val="TableParagraph"/>
              <w:spacing w:before="11"/>
              <w:rPr>
                <w:rFonts w:ascii="Times New Roman"/>
                <w:sz w:val="17"/>
              </w:rPr>
            </w:pPr>
          </w:p>
          <w:p>
            <w:pPr>
              <w:pStyle w:val="TableParagraph"/>
              <w:spacing w:before="0"/>
              <w:ind w:left="352"/>
              <w:rPr>
                <w:rFonts w:ascii="Times New Roman"/>
                <w:sz w:val="20"/>
              </w:rPr>
            </w:pPr>
            <w:r>
              <w:rPr>
                <w:rFonts w:ascii="Times New Roman"/>
                <w:sz w:val="20"/>
              </w:rPr>
              <w:t>413</w:t>
            </w:r>
          </w:p>
        </w:tc>
        <w:tc>
          <w:tcPr>
            <w:tcW w:w="3401" w:type="dxa"/>
          </w:tcPr>
          <w:p>
            <w:pPr>
              <w:pStyle w:val="TableParagraph"/>
              <w:spacing w:before="91"/>
              <w:ind w:left="352" w:right="175"/>
              <w:rPr>
                <w:rFonts w:ascii="Times New Roman"/>
                <w:sz w:val="20"/>
              </w:rPr>
            </w:pPr>
            <w:r>
              <w:rPr>
                <w:rFonts w:ascii="Times New Roman"/>
                <w:sz w:val="20"/>
              </w:rPr>
              <w:t>Acreedores por operaciones ptes de aplicar al Ppto.</w:t>
            </w:r>
          </w:p>
        </w:tc>
        <w:tc>
          <w:tcPr>
            <w:tcW w:w="1620" w:type="dxa"/>
          </w:tcPr>
          <w:p>
            <w:pPr>
              <w:pStyle w:val="TableParagraph"/>
              <w:spacing w:before="11"/>
              <w:rPr>
                <w:rFonts w:ascii="Times New Roman"/>
                <w:sz w:val="17"/>
              </w:rPr>
            </w:pPr>
          </w:p>
          <w:p>
            <w:pPr>
              <w:pStyle w:val="TableParagraph"/>
              <w:spacing w:before="0"/>
              <w:ind w:left="51" w:right="53"/>
              <w:jc w:val="center"/>
              <w:rPr>
                <w:rFonts w:ascii="Times New Roman"/>
                <w:sz w:val="20"/>
              </w:rPr>
            </w:pPr>
            <w:r>
              <w:rPr>
                <w:rFonts w:ascii="Times New Roman"/>
                <w:sz w:val="20"/>
              </w:rPr>
              <w:t>411.685,02</w:t>
            </w:r>
          </w:p>
        </w:tc>
        <w:tc>
          <w:tcPr>
            <w:tcW w:w="2040" w:type="dxa"/>
          </w:tcPr>
          <w:p>
            <w:pPr>
              <w:pStyle w:val="TableParagraph"/>
              <w:spacing w:before="11"/>
              <w:rPr>
                <w:rFonts w:ascii="Times New Roman"/>
                <w:sz w:val="17"/>
              </w:rPr>
            </w:pPr>
          </w:p>
          <w:p>
            <w:pPr>
              <w:pStyle w:val="TableParagraph"/>
              <w:spacing w:before="0"/>
              <w:ind w:left="352"/>
              <w:rPr>
                <w:rFonts w:ascii="Times New Roman"/>
                <w:sz w:val="20"/>
              </w:rPr>
            </w:pPr>
            <w:r>
              <w:rPr>
                <w:rFonts w:ascii="Times New Roman"/>
                <w:sz w:val="20"/>
              </w:rPr>
              <w:t>- 445.097,71</w:t>
            </w:r>
          </w:p>
        </w:tc>
        <w:tc>
          <w:tcPr>
            <w:tcW w:w="1740" w:type="dxa"/>
          </w:tcPr>
          <w:p>
            <w:pPr>
              <w:pStyle w:val="TableParagraph"/>
              <w:spacing w:before="11"/>
              <w:rPr>
                <w:rFonts w:ascii="Times New Roman"/>
                <w:sz w:val="17"/>
              </w:rPr>
            </w:pPr>
          </w:p>
          <w:p>
            <w:pPr>
              <w:pStyle w:val="TableParagraph"/>
              <w:spacing w:before="0"/>
              <w:ind w:left="352"/>
              <w:rPr>
                <w:rFonts w:ascii="Times New Roman"/>
                <w:sz w:val="20"/>
              </w:rPr>
            </w:pPr>
            <w:r>
              <w:rPr>
                <w:rFonts w:ascii="Times New Roman"/>
                <w:sz w:val="20"/>
              </w:rPr>
              <w:t>-33.412,69</w:t>
            </w:r>
          </w:p>
        </w:tc>
      </w:tr>
    </w:tbl>
    <w:p>
      <w:pPr>
        <w:pStyle w:val="BodyText"/>
        <w:spacing w:before="9"/>
        <w:rPr>
          <w:sz w:val="21"/>
        </w:rPr>
      </w:pPr>
    </w:p>
    <w:p>
      <w:pPr>
        <w:pStyle w:val="Heading1"/>
        <w:spacing w:before="98"/>
        <w:ind w:left="699" w:right="1694"/>
        <w:jc w:val="both"/>
      </w:pPr>
      <w:r>
        <w:rPr/>
        <w:t>CÁLCULO DE LA CAPACIDAD/NECESIDAD DE FINANCIACIÓN DERIVADA DEL PRESUPUESTO DEL AYUNTAMIENTO A 31/12 DESPUÉS DE APLICAR LOS AJUSTES A LOS DATOS QUE SE EXTRAEN DE LA LIQUIDACIÓN DEL EJERCICIO</w:t>
      </w:r>
    </w:p>
    <w:p>
      <w:pPr>
        <w:pStyle w:val="BodyText"/>
        <w:spacing w:before="121"/>
        <w:ind w:left="700" w:right="1688" w:firstLine="707"/>
        <w:jc w:val="both"/>
      </w:pPr>
      <w:r>
        <w:rPr/>
        <w:t>Se aprecia en el cuadro siguiente la diferencia entre los importes presupuestados en los capítulos 1 a 7 de los estados de ingresos y los capítulos 1 a 7 del estado de gastos, previa aplicación de los ajustes descritos. Donde d) = a) – b) +</w:t>
      </w:r>
      <w:r>
        <w:rPr>
          <w:spacing w:val="-3"/>
        </w:rPr>
        <w:t> </w:t>
      </w:r>
      <w:r>
        <w:rPr/>
        <w:t>c)</w:t>
      </w:r>
    </w:p>
    <w:p>
      <w:pPr>
        <w:pStyle w:val="BodyText"/>
      </w:pPr>
    </w:p>
    <w:p>
      <w:pPr>
        <w:pStyle w:val="BodyText"/>
        <w:spacing w:before="9"/>
      </w:pPr>
    </w:p>
    <w:tbl>
      <w:tblPr>
        <w:tblW w:w="0" w:type="auto"/>
        <w:jc w:val="left"/>
        <w:tblInd w:w="1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41"/>
        <w:gridCol w:w="2021"/>
      </w:tblGrid>
      <w:tr>
        <w:trPr>
          <w:trHeight w:val="256" w:hRule="atLeast"/>
        </w:trPr>
        <w:tc>
          <w:tcPr>
            <w:tcW w:w="5441" w:type="dxa"/>
            <w:tcBorders>
              <w:bottom w:val="single" w:sz="4" w:space="0" w:color="000000"/>
              <w:right w:val="single" w:sz="4" w:space="0" w:color="000000"/>
            </w:tcBorders>
          </w:tcPr>
          <w:p>
            <w:pPr>
              <w:pStyle w:val="TableParagraph"/>
              <w:spacing w:line="222" w:lineRule="exact" w:before="14"/>
              <w:ind w:left="1264"/>
              <w:rPr>
                <w:rFonts w:ascii="Times New Roman" w:hAnsi="Times New Roman"/>
                <w:b/>
                <w:sz w:val="20"/>
              </w:rPr>
            </w:pPr>
            <w:r>
              <w:rPr>
                <w:rFonts w:ascii="Times New Roman" w:hAnsi="Times New Roman"/>
                <w:b/>
                <w:sz w:val="20"/>
              </w:rPr>
              <w:t>LIQUIDACIÓN PRESUPUESTO</w:t>
            </w:r>
          </w:p>
        </w:tc>
        <w:tc>
          <w:tcPr>
            <w:tcW w:w="2021" w:type="dxa"/>
            <w:tcBorders>
              <w:left w:val="single" w:sz="4" w:space="0" w:color="000000"/>
              <w:bottom w:val="single" w:sz="4" w:space="0" w:color="000000"/>
            </w:tcBorders>
          </w:tcPr>
          <w:p>
            <w:pPr>
              <w:pStyle w:val="TableParagraph"/>
              <w:spacing w:line="222" w:lineRule="exact" w:before="14"/>
              <w:ind w:left="534"/>
              <w:rPr>
                <w:rFonts w:ascii="Times New Roman"/>
                <w:b/>
                <w:sz w:val="20"/>
              </w:rPr>
            </w:pPr>
            <w:r>
              <w:rPr>
                <w:rFonts w:ascii="Times New Roman"/>
                <w:b/>
                <w:sz w:val="20"/>
              </w:rPr>
              <w:t>IMPORTE</w:t>
            </w:r>
          </w:p>
        </w:tc>
      </w:tr>
      <w:tr>
        <w:trPr>
          <w:trHeight w:val="254" w:hRule="atLeast"/>
        </w:trPr>
        <w:tc>
          <w:tcPr>
            <w:tcW w:w="5441" w:type="dxa"/>
            <w:tcBorders>
              <w:top w:val="single" w:sz="4" w:space="0" w:color="000000"/>
              <w:bottom w:val="single" w:sz="4" w:space="0" w:color="000000"/>
              <w:right w:val="single" w:sz="4" w:space="0" w:color="000000"/>
            </w:tcBorders>
          </w:tcPr>
          <w:p>
            <w:pPr>
              <w:pStyle w:val="TableParagraph"/>
              <w:spacing w:line="222" w:lineRule="exact" w:before="12"/>
              <w:ind w:left="69"/>
              <w:rPr>
                <w:rFonts w:ascii="Times New Roman" w:hAnsi="Times New Roman"/>
                <w:sz w:val="20"/>
              </w:rPr>
            </w:pPr>
            <w:r>
              <w:rPr>
                <w:rFonts w:ascii="Times New Roman" w:hAnsi="Times New Roman"/>
                <w:sz w:val="20"/>
              </w:rPr>
              <w:t>a) TOTAL INGRESOS CAPÍTULOS 1 a 7 AJUSTADOS</w:t>
            </w:r>
          </w:p>
        </w:tc>
        <w:tc>
          <w:tcPr>
            <w:tcW w:w="2021" w:type="dxa"/>
            <w:tcBorders>
              <w:top w:val="single" w:sz="4" w:space="0" w:color="000000"/>
              <w:left w:val="single" w:sz="4" w:space="0" w:color="000000"/>
              <w:bottom w:val="single" w:sz="4" w:space="0" w:color="000000"/>
            </w:tcBorders>
          </w:tcPr>
          <w:p>
            <w:pPr>
              <w:pStyle w:val="TableParagraph"/>
              <w:spacing w:line="222" w:lineRule="exact" w:before="12"/>
              <w:ind w:right="49"/>
              <w:jc w:val="right"/>
              <w:rPr>
                <w:rFonts w:ascii="Times New Roman" w:hAnsi="Times New Roman"/>
                <w:sz w:val="20"/>
              </w:rPr>
            </w:pPr>
            <w:r>
              <w:rPr>
                <w:rFonts w:ascii="Times New Roman" w:hAnsi="Times New Roman"/>
                <w:b/>
                <w:sz w:val="20"/>
              </w:rPr>
              <w:t>39.741.441,25 </w:t>
            </w:r>
            <w:r>
              <w:rPr>
                <w:rFonts w:ascii="Times New Roman" w:hAnsi="Times New Roman"/>
                <w:sz w:val="20"/>
              </w:rPr>
              <w:t>€</w:t>
            </w:r>
          </w:p>
        </w:tc>
      </w:tr>
      <w:tr>
        <w:trPr>
          <w:trHeight w:val="256" w:hRule="atLeast"/>
        </w:trPr>
        <w:tc>
          <w:tcPr>
            <w:tcW w:w="5441" w:type="dxa"/>
            <w:tcBorders>
              <w:top w:val="single" w:sz="4" w:space="0" w:color="000000"/>
              <w:bottom w:val="single" w:sz="4" w:space="0" w:color="000000"/>
              <w:right w:val="single" w:sz="4" w:space="0" w:color="000000"/>
            </w:tcBorders>
          </w:tcPr>
          <w:p>
            <w:pPr>
              <w:pStyle w:val="TableParagraph"/>
              <w:spacing w:line="224" w:lineRule="exact" w:before="12"/>
              <w:ind w:left="69"/>
              <w:rPr>
                <w:rFonts w:ascii="Times New Roman" w:hAnsi="Times New Roman"/>
                <w:sz w:val="20"/>
              </w:rPr>
            </w:pPr>
            <w:r>
              <w:rPr>
                <w:rFonts w:ascii="Times New Roman" w:hAnsi="Times New Roman"/>
                <w:sz w:val="20"/>
              </w:rPr>
              <w:t>b) TOTAL GASTOS CAPÍTULOS 1 a 7 AJUSTADOS</w:t>
            </w:r>
          </w:p>
        </w:tc>
        <w:tc>
          <w:tcPr>
            <w:tcW w:w="2021" w:type="dxa"/>
            <w:tcBorders>
              <w:top w:val="single" w:sz="4" w:space="0" w:color="000000"/>
              <w:left w:val="single" w:sz="4" w:space="0" w:color="000000"/>
              <w:bottom w:val="single" w:sz="4" w:space="0" w:color="000000"/>
            </w:tcBorders>
          </w:tcPr>
          <w:p>
            <w:pPr>
              <w:pStyle w:val="TableParagraph"/>
              <w:spacing w:before="0"/>
              <w:ind w:right="49"/>
              <w:jc w:val="right"/>
              <w:rPr>
                <w:rFonts w:ascii="Times New Roman"/>
                <w:b/>
                <w:sz w:val="20"/>
              </w:rPr>
            </w:pPr>
            <w:r>
              <w:rPr>
                <w:rFonts w:ascii="Times New Roman"/>
                <w:b/>
                <w:w w:val="95"/>
                <w:sz w:val="20"/>
              </w:rPr>
              <w:t>30.157.554,42</w:t>
            </w:r>
          </w:p>
        </w:tc>
      </w:tr>
      <w:tr>
        <w:trPr>
          <w:trHeight w:val="350" w:hRule="atLeast"/>
        </w:trPr>
        <w:tc>
          <w:tcPr>
            <w:tcW w:w="5441" w:type="dxa"/>
            <w:tcBorders>
              <w:top w:val="single" w:sz="4" w:space="0" w:color="000000"/>
              <w:bottom w:val="single" w:sz="4" w:space="0" w:color="000000"/>
              <w:right w:val="single" w:sz="4" w:space="0" w:color="000000"/>
            </w:tcBorders>
          </w:tcPr>
          <w:p>
            <w:pPr>
              <w:pStyle w:val="TableParagraph"/>
              <w:spacing w:before="60"/>
              <w:ind w:left="69"/>
              <w:rPr>
                <w:rFonts w:ascii="Times New Roman" w:hAnsi="Times New Roman"/>
                <w:sz w:val="20"/>
              </w:rPr>
            </w:pPr>
            <w:r>
              <w:rPr>
                <w:rFonts w:ascii="Times New Roman" w:hAnsi="Times New Roman"/>
                <w:sz w:val="20"/>
              </w:rPr>
              <w:t>c) OTROS AJUSTES: Variación cuenta 413</w:t>
            </w:r>
          </w:p>
        </w:tc>
        <w:tc>
          <w:tcPr>
            <w:tcW w:w="2021" w:type="dxa"/>
            <w:tcBorders>
              <w:top w:val="single" w:sz="4" w:space="0" w:color="000000"/>
              <w:left w:val="single" w:sz="4" w:space="0" w:color="000000"/>
              <w:bottom w:val="single" w:sz="4" w:space="0" w:color="000000"/>
            </w:tcBorders>
          </w:tcPr>
          <w:p>
            <w:pPr>
              <w:pStyle w:val="TableParagraph"/>
              <w:spacing w:before="0"/>
              <w:ind w:left="709"/>
              <w:rPr>
                <w:rFonts w:ascii="Times New Roman"/>
                <w:b/>
                <w:sz w:val="20"/>
              </w:rPr>
            </w:pPr>
            <w:r>
              <w:rPr>
                <w:rFonts w:ascii="Times New Roman"/>
                <w:b/>
                <w:sz w:val="20"/>
              </w:rPr>
              <w:t>- 33.412,69</w:t>
            </w:r>
          </w:p>
        </w:tc>
      </w:tr>
      <w:tr>
        <w:trPr>
          <w:trHeight w:val="270" w:hRule="atLeast"/>
        </w:trPr>
        <w:tc>
          <w:tcPr>
            <w:tcW w:w="5441" w:type="dxa"/>
            <w:tcBorders>
              <w:top w:val="single" w:sz="4" w:space="0" w:color="000000"/>
              <w:right w:val="single" w:sz="4" w:space="0" w:color="000000"/>
            </w:tcBorders>
          </w:tcPr>
          <w:p>
            <w:pPr>
              <w:pStyle w:val="TableParagraph"/>
              <w:spacing w:before="19"/>
              <w:ind w:left="69"/>
              <w:rPr>
                <w:rFonts w:ascii="Times New Roman" w:hAnsi="Times New Roman"/>
                <w:sz w:val="20"/>
              </w:rPr>
            </w:pPr>
            <w:r>
              <w:rPr>
                <w:rFonts w:ascii="Times New Roman" w:hAnsi="Times New Roman"/>
                <w:sz w:val="20"/>
              </w:rPr>
              <w:t>d) CAPACIDAD/NECESIDAD DE FINANCIACIÓN</w:t>
            </w:r>
          </w:p>
        </w:tc>
        <w:tc>
          <w:tcPr>
            <w:tcW w:w="2021" w:type="dxa"/>
            <w:tcBorders>
              <w:top w:val="single" w:sz="4" w:space="0" w:color="000000"/>
              <w:left w:val="single" w:sz="4" w:space="0" w:color="000000"/>
            </w:tcBorders>
          </w:tcPr>
          <w:p>
            <w:pPr>
              <w:pStyle w:val="TableParagraph"/>
              <w:spacing w:before="19"/>
              <w:ind w:right="49"/>
              <w:jc w:val="right"/>
              <w:rPr>
                <w:rFonts w:ascii="Times New Roman" w:hAnsi="Times New Roman"/>
                <w:b/>
                <w:sz w:val="20"/>
              </w:rPr>
            </w:pPr>
            <w:r>
              <w:rPr>
                <w:rFonts w:ascii="Times New Roman" w:hAnsi="Times New Roman"/>
                <w:b/>
                <w:sz w:val="20"/>
              </w:rPr>
              <w:t>9.550.474,14 €</w:t>
            </w:r>
          </w:p>
        </w:tc>
      </w:tr>
    </w:tbl>
    <w:p>
      <w:pPr>
        <w:pStyle w:val="BodyText"/>
        <w:spacing w:before="4"/>
        <w:rPr>
          <w:sz w:val="22"/>
        </w:rPr>
      </w:pPr>
    </w:p>
    <w:p>
      <w:pPr>
        <w:pStyle w:val="BodyText"/>
        <w:spacing w:before="91"/>
        <w:ind w:left="700" w:right="1683"/>
      </w:pPr>
      <w:r>
        <w:rPr/>
        <w:t>Se puede concluir en este informe, a efectos de estabilidad presupuestaria, afirmando que la liquidación del presupuesto municipal de esta corporación para el ejercicio </w:t>
      </w:r>
      <w:r>
        <w:rPr>
          <w:b/>
        </w:rPr>
        <w:t>2024 </w:t>
      </w:r>
      <w:r>
        <w:rPr/>
        <w:t>cumple el objetivo de estabilidad presupuestaria entendido como la situación de equilibrio o de superávit en términos de capacidad de financiación de acuerdo con la definición contenida en el SEC 95, por importe de </w:t>
      </w:r>
      <w:r>
        <w:rPr>
          <w:b/>
        </w:rPr>
        <w:t>9.550.474,14 €</w:t>
      </w:r>
      <w:r>
        <w:rPr/>
        <w:t>. Se observa que el ejercicio por lo tanto se ha liquidado en situación de capacidad de financiación.</w:t>
      </w:r>
    </w:p>
    <w:p>
      <w:pPr>
        <w:pStyle w:val="BodyText"/>
        <w:rPr>
          <w:sz w:val="22"/>
        </w:rPr>
      </w:pPr>
    </w:p>
    <w:p>
      <w:pPr>
        <w:pStyle w:val="BodyText"/>
        <w:spacing w:before="10"/>
        <w:rPr>
          <w:sz w:val="18"/>
        </w:rPr>
      </w:pPr>
    </w:p>
    <w:p>
      <w:pPr>
        <w:spacing w:before="0"/>
        <w:ind w:left="1408" w:right="0" w:firstLine="0"/>
        <w:jc w:val="left"/>
        <w:rPr>
          <w:b/>
          <w:i/>
          <w:sz w:val="20"/>
        </w:rPr>
      </w:pPr>
      <w:r>
        <w:rPr>
          <w:sz w:val="20"/>
        </w:rPr>
        <w:t>4º.- </w:t>
      </w:r>
      <w:r>
        <w:rPr>
          <w:b/>
          <w:i/>
          <w:sz w:val="20"/>
          <w:u w:val="single"/>
        </w:rPr>
        <w:t>REGLA DE GASTO</w:t>
      </w:r>
    </w:p>
    <w:p>
      <w:pPr>
        <w:spacing w:after="0"/>
        <w:jc w:val="left"/>
        <w:rPr>
          <w:sz w:val="20"/>
        </w:rPr>
        <w:sectPr>
          <w:pgSz w:w="11900" w:h="16840"/>
          <w:pgMar w:header="698" w:footer="0" w:top="1920" w:bottom="280" w:left="200" w:right="0"/>
        </w:sect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
        <w:rPr>
          <w:b/>
          <w:i/>
          <w:sz w:val="16"/>
        </w:rPr>
      </w:pPr>
    </w:p>
    <w:p>
      <w:pPr>
        <w:pStyle w:val="BodyText"/>
        <w:spacing w:before="90"/>
        <w:ind w:left="1407"/>
      </w:pPr>
      <w:r>
        <w:rPr/>
        <w:pict>
          <v:shape style="position:absolute;margin-left:.597812pt;margin-top:-45.359646pt;width:23.8pt;height:582.2pt;mso-position-horizontal-relative:page;mso-position-vertical-relative:paragraph;z-index:-25274368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15711470763626204765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r>
        <w:rPr/>
        <w:t>El</w:t>
      </w:r>
      <w:r>
        <w:rPr>
          <w:spacing w:val="-4"/>
        </w:rPr>
        <w:t> </w:t>
      </w:r>
      <w:r>
        <w:rPr/>
        <w:t>presupuesto</w:t>
      </w:r>
      <w:r>
        <w:rPr>
          <w:spacing w:val="-2"/>
        </w:rPr>
        <w:t> </w:t>
      </w:r>
      <w:r>
        <w:rPr/>
        <w:t>del</w:t>
      </w:r>
      <w:r>
        <w:rPr>
          <w:spacing w:val="-3"/>
        </w:rPr>
        <w:t> </w:t>
      </w:r>
      <w:r>
        <w:rPr/>
        <w:t>Ayuntamiento</w:t>
      </w:r>
      <w:r>
        <w:rPr>
          <w:spacing w:val="-2"/>
        </w:rPr>
        <w:t> </w:t>
      </w:r>
      <w:r>
        <w:rPr/>
        <w:t>atiende</w:t>
      </w:r>
      <w:r>
        <w:rPr>
          <w:spacing w:val="-3"/>
        </w:rPr>
        <w:t> </w:t>
      </w:r>
      <w:r>
        <w:rPr/>
        <w:t>al</w:t>
      </w:r>
      <w:r>
        <w:rPr>
          <w:spacing w:val="-3"/>
        </w:rPr>
        <w:t> </w:t>
      </w:r>
      <w:r>
        <w:rPr/>
        <w:t>cumplimiento</w:t>
      </w:r>
      <w:r>
        <w:rPr>
          <w:spacing w:val="-5"/>
        </w:rPr>
        <w:t> </w:t>
      </w:r>
      <w:r>
        <w:rPr/>
        <w:t>del</w:t>
      </w:r>
      <w:r>
        <w:rPr>
          <w:spacing w:val="-3"/>
        </w:rPr>
        <w:t> </w:t>
      </w:r>
      <w:r>
        <w:rPr/>
        <w:t>principio</w:t>
      </w:r>
      <w:r>
        <w:rPr>
          <w:spacing w:val="-4"/>
        </w:rPr>
        <w:t> </w:t>
      </w:r>
      <w:r>
        <w:rPr/>
        <w:t>de</w:t>
      </w:r>
      <w:r>
        <w:rPr>
          <w:spacing w:val="-3"/>
        </w:rPr>
        <w:t> </w:t>
      </w:r>
      <w:r>
        <w:rPr/>
        <w:t>estabilidad</w:t>
      </w:r>
      <w:r>
        <w:rPr>
          <w:spacing w:val="-2"/>
        </w:rPr>
        <w:t> </w:t>
      </w:r>
      <w:r>
        <w:rPr/>
        <w:t>(art.</w:t>
      </w:r>
      <w:r>
        <w:rPr>
          <w:spacing w:val="-5"/>
        </w:rPr>
        <w:t> </w:t>
      </w:r>
      <w:r>
        <w:rPr/>
        <w:t>165.1</w:t>
      </w:r>
    </w:p>
    <w:p>
      <w:pPr>
        <w:pStyle w:val="BodyText"/>
        <w:spacing w:before="121"/>
        <w:ind w:left="699" w:right="1902" w:firstLine="708"/>
      </w:pPr>
      <w:r>
        <w:rPr/>
        <w:t>RDL 2/2004) en los términos previstos en la L.O. 2/2012, de 27 de abril, de Estabilidad Presupuestaria y Sostenibilidad Financiera modificada por la L.O. 4/2012 y desarrollada por la Orden HAP 2105/2012 de 1 de octubre por la que se desarrollan las obligaciones de suministro de información previstas en la LO</w:t>
      </w:r>
      <w:r>
        <w:rPr>
          <w:spacing w:val="-27"/>
        </w:rPr>
        <w:t> </w:t>
      </w:r>
      <w:r>
        <w:rPr/>
        <w:t>2/2012.</w:t>
      </w:r>
    </w:p>
    <w:p>
      <w:pPr>
        <w:pStyle w:val="BodyText"/>
        <w:spacing w:before="121"/>
        <w:ind w:left="700" w:right="1727" w:firstLine="708"/>
      </w:pPr>
      <w:r>
        <w:rPr/>
        <w:pict>
          <v:line style="position:absolute;mso-position-horizontal-relative:page;mso-position-vertical-relative:paragraph;z-index:251676672" from="24.35pt,166.285676pt" to="24.35pt,8.875676pt" stroked="true" strokeweight=".53333pt" strokecolor="#0000ff">
            <v:stroke dashstyle="solid"/>
            <w10:wrap type="none"/>
          </v:line>
        </w:pict>
      </w:r>
      <w:r>
        <w:rPr/>
        <w:t>Respecto a la regla de gasto en la aprobación del presupuesto, ya no es precisa la evaluación de dicha regla, en virtud de la modificación de la Orden HAP/2015/2012, de 1 de octubre, por la que se desarrollan las obligaciones de suministro de información previstas en la LOEPSF, modificación realizada por la Orden HAP/2082/2014, de 7 de noviembre. De esta forma, con la modificación del art. 15 de la Orden HAP/2015/2012, se elimina la obligación de remisión de informe de intervención sobre el cumplimiento de la regla de gasto en la elaboración del Presupuesto desde el 2015, siendo solamente necesario en fase de aprobación, el informe de intervención del cumplimiento del objetivo de estabilidad y el límite de deuda antes del 31 de enero de cada año (artículo 15.3.c) de dicha</w:t>
      </w:r>
      <w:r>
        <w:rPr>
          <w:spacing w:val="-2"/>
        </w:rPr>
        <w:t> </w:t>
      </w:r>
      <w:r>
        <w:rPr/>
        <w:t>norma).</w:t>
      </w:r>
    </w:p>
    <w:p>
      <w:pPr>
        <w:pStyle w:val="BodyText"/>
        <w:spacing w:before="119"/>
        <w:ind w:left="700" w:right="1735" w:firstLine="708"/>
      </w:pPr>
      <w:r>
        <w:rPr/>
        <w:t>Para el ejercicio </w:t>
      </w:r>
      <w:r>
        <w:rPr>
          <w:b/>
        </w:rPr>
        <w:t>2024 </w:t>
      </w:r>
      <w:r>
        <w:rPr/>
        <w:t>nos encontramos con que el límite de techo de gasto resultante del gasto computable del año 2023 al cierre de conformidad con la </w:t>
      </w:r>
      <w:r>
        <w:rPr>
          <w:b/>
        </w:rPr>
        <w:t>regla de gasto </w:t>
      </w:r>
      <w:r>
        <w:rPr/>
        <w:t>prevista por el Estado para ese año del </w:t>
      </w:r>
      <w:r>
        <w:rPr>
          <w:b/>
        </w:rPr>
        <w:t>2,6% </w:t>
      </w:r>
      <w:r>
        <w:rPr/>
        <w:t>ascendería en nuestra Corporación a la cantidad de </w:t>
      </w:r>
      <w:r>
        <w:rPr>
          <w:b/>
        </w:rPr>
        <w:t>30.421.801,9 </w:t>
      </w:r>
      <w:r>
        <w:rPr/>
        <w:t>euros.</w:t>
      </w:r>
    </w:p>
    <w:p>
      <w:pPr>
        <w:pStyle w:val="BodyText"/>
      </w:pPr>
    </w:p>
    <w:p>
      <w:pPr>
        <w:pStyle w:val="BodyText"/>
        <w:spacing w:before="8"/>
        <w:rPr>
          <w:sz w:val="10"/>
        </w:rPr>
      </w:pPr>
    </w:p>
    <w:tbl>
      <w:tblPr>
        <w:tblW w:w="0" w:type="auto"/>
        <w:jc w:val="left"/>
        <w:tblInd w:w="7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943"/>
        <w:gridCol w:w="2366"/>
      </w:tblGrid>
      <w:tr>
        <w:trPr>
          <w:trHeight w:val="537" w:hRule="atLeast"/>
        </w:trPr>
        <w:tc>
          <w:tcPr>
            <w:tcW w:w="6943" w:type="dxa"/>
            <w:tcBorders>
              <w:bottom w:val="double" w:sz="4" w:space="0" w:color="000000"/>
              <w:right w:val="double" w:sz="4" w:space="0" w:color="000000"/>
            </w:tcBorders>
            <w:shd w:val="clear" w:color="auto" w:fill="C5D9F1"/>
          </w:tcPr>
          <w:p>
            <w:pPr>
              <w:pStyle w:val="TableParagraph"/>
              <w:spacing w:before="154"/>
              <w:ind w:left="3037" w:right="3015"/>
              <w:jc w:val="center"/>
              <w:rPr>
                <w:b/>
                <w:sz w:val="20"/>
              </w:rPr>
            </w:pPr>
            <w:r>
              <w:rPr>
                <w:b/>
                <w:sz w:val="20"/>
              </w:rPr>
              <w:t>Concepto</w:t>
            </w:r>
          </w:p>
        </w:tc>
        <w:tc>
          <w:tcPr>
            <w:tcW w:w="2366" w:type="dxa"/>
            <w:tcBorders>
              <w:left w:val="double" w:sz="4" w:space="0" w:color="000000"/>
              <w:bottom w:val="double" w:sz="4" w:space="0" w:color="000000"/>
            </w:tcBorders>
            <w:shd w:val="clear" w:color="auto" w:fill="C5D9F1"/>
          </w:tcPr>
          <w:p>
            <w:pPr>
              <w:pStyle w:val="TableParagraph"/>
              <w:spacing w:line="240" w:lineRule="atLeast" w:before="32"/>
              <w:ind w:left="821" w:right="68" w:hanging="744"/>
              <w:rPr>
                <w:b/>
                <w:sz w:val="20"/>
              </w:rPr>
            </w:pPr>
            <w:r>
              <w:rPr>
                <w:b/>
                <w:sz w:val="20"/>
              </w:rPr>
              <w:t>Liquidacion Ejercicio 2024 firmada</w:t>
            </w:r>
          </w:p>
        </w:tc>
      </w:tr>
      <w:tr>
        <w:trPr>
          <w:trHeight w:val="278" w:hRule="atLeast"/>
        </w:trPr>
        <w:tc>
          <w:tcPr>
            <w:tcW w:w="6943" w:type="dxa"/>
            <w:tcBorders>
              <w:top w:val="double" w:sz="4" w:space="0" w:color="000000"/>
              <w:bottom w:val="double" w:sz="2" w:space="0" w:color="7F7F7F"/>
              <w:right w:val="thinThickMediumGap" w:sz="6" w:space="0" w:color="000000"/>
            </w:tcBorders>
          </w:tcPr>
          <w:p>
            <w:pPr>
              <w:pStyle w:val="TableParagraph"/>
              <w:spacing w:line="244" w:lineRule="exact" w:before="14"/>
              <w:ind w:left="13"/>
              <w:rPr>
                <w:sz w:val="20"/>
              </w:rPr>
            </w:pPr>
            <w:r>
              <w:rPr>
                <w:sz w:val="20"/>
              </w:rPr>
              <w:t>Suma de los capitulos 1 a 7 de gastos (1)</w:t>
            </w:r>
          </w:p>
        </w:tc>
        <w:tc>
          <w:tcPr>
            <w:tcW w:w="2366" w:type="dxa"/>
            <w:tcBorders>
              <w:top w:val="double" w:sz="4" w:space="0" w:color="000000"/>
              <w:left w:val="thickThinMediumGap" w:sz="6" w:space="0" w:color="000000"/>
              <w:bottom w:val="double" w:sz="2" w:space="0" w:color="7F7F7F"/>
              <w:right w:val="single" w:sz="6" w:space="0" w:color="7F7F7F"/>
            </w:tcBorders>
            <w:shd w:val="clear" w:color="auto" w:fill="DDD9C4"/>
          </w:tcPr>
          <w:p>
            <w:pPr>
              <w:pStyle w:val="TableParagraph"/>
              <w:spacing w:line="244" w:lineRule="exact" w:before="14"/>
              <w:ind w:right="4"/>
              <w:jc w:val="right"/>
              <w:rPr>
                <w:sz w:val="20"/>
              </w:rPr>
            </w:pPr>
            <w:r>
              <w:rPr>
                <w:sz w:val="20"/>
              </w:rPr>
              <w:t>30.157.554,52</w:t>
            </w:r>
          </w:p>
        </w:tc>
      </w:tr>
      <w:tr>
        <w:trPr>
          <w:trHeight w:val="283"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before="20"/>
              <w:ind w:left="13"/>
              <w:rPr>
                <w:sz w:val="20"/>
              </w:rPr>
            </w:pPr>
            <w:r>
              <w:rPr>
                <w:sz w:val="20"/>
              </w:rPr>
              <w:t>AJUSTES Calculo empleos no financieros según el SEC</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before="20"/>
              <w:ind w:right="4"/>
              <w:jc w:val="right"/>
              <w:rPr>
                <w:sz w:val="20"/>
              </w:rPr>
            </w:pPr>
            <w:r>
              <w:rPr>
                <w:sz w:val="20"/>
              </w:rPr>
              <w:t>0,00</w:t>
            </w:r>
          </w:p>
        </w:tc>
      </w:tr>
      <w:tr>
        <w:trPr>
          <w:trHeight w:val="286"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ind w:left="13"/>
              <w:rPr>
                <w:sz w:val="20"/>
              </w:rPr>
            </w:pPr>
            <w:r>
              <w:rPr>
                <w:sz w:val="20"/>
              </w:rPr>
              <w:t>(-) Enajenación de terrenos y demás inversiones reales</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ind w:right="4"/>
              <w:jc w:val="right"/>
              <w:rPr>
                <w:sz w:val="20"/>
              </w:rPr>
            </w:pPr>
            <w:r>
              <w:rPr>
                <w:sz w:val="20"/>
              </w:rPr>
              <w:t>0,00</w:t>
            </w:r>
          </w:p>
        </w:tc>
      </w:tr>
      <w:tr>
        <w:trPr>
          <w:trHeight w:val="283"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before="20"/>
              <w:ind w:left="13"/>
              <w:rPr>
                <w:sz w:val="20"/>
              </w:rPr>
            </w:pPr>
            <w:r>
              <w:rPr>
                <w:sz w:val="20"/>
              </w:rPr>
              <w:t>(+/-) Inversiones realizadas por cuenta de la Corporación Local (5)</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before="20"/>
              <w:ind w:right="4"/>
              <w:jc w:val="right"/>
              <w:rPr>
                <w:sz w:val="20"/>
              </w:rPr>
            </w:pPr>
            <w:r>
              <w:rPr>
                <w:sz w:val="20"/>
              </w:rPr>
              <w:t>0,00</w:t>
            </w:r>
          </w:p>
        </w:tc>
      </w:tr>
      <w:tr>
        <w:trPr>
          <w:trHeight w:val="286"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ind w:left="13"/>
              <w:rPr>
                <w:sz w:val="20"/>
              </w:rPr>
            </w:pPr>
            <w:r>
              <w:rPr>
                <w:sz w:val="20"/>
              </w:rPr>
              <w:t>(+/-) Ejecución de Avales</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ind w:right="4"/>
              <w:jc w:val="right"/>
              <w:rPr>
                <w:sz w:val="20"/>
              </w:rPr>
            </w:pPr>
            <w:r>
              <w:rPr>
                <w:sz w:val="20"/>
              </w:rPr>
              <w:t>0,00</w:t>
            </w:r>
          </w:p>
        </w:tc>
      </w:tr>
      <w:tr>
        <w:trPr>
          <w:trHeight w:val="283"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before="20"/>
              <w:ind w:left="13"/>
              <w:rPr>
                <w:sz w:val="20"/>
              </w:rPr>
            </w:pPr>
            <w:r>
              <w:rPr>
                <w:sz w:val="20"/>
              </w:rPr>
              <w:t>(+) Aportaciones de capital</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before="20"/>
              <w:ind w:right="4"/>
              <w:jc w:val="right"/>
              <w:rPr>
                <w:sz w:val="20"/>
              </w:rPr>
            </w:pPr>
            <w:r>
              <w:rPr>
                <w:sz w:val="20"/>
              </w:rPr>
              <w:t>0,00</w:t>
            </w:r>
          </w:p>
        </w:tc>
      </w:tr>
      <w:tr>
        <w:trPr>
          <w:trHeight w:val="286"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ind w:left="13"/>
              <w:rPr>
                <w:sz w:val="20"/>
              </w:rPr>
            </w:pPr>
            <w:r>
              <w:rPr>
                <w:sz w:val="20"/>
              </w:rPr>
              <w:t>(+/-) Asunción y cancelación de deudas</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ind w:right="4"/>
              <w:jc w:val="right"/>
              <w:rPr>
                <w:sz w:val="20"/>
              </w:rPr>
            </w:pPr>
            <w:r>
              <w:rPr>
                <w:sz w:val="20"/>
              </w:rPr>
              <w:t>0,00</w:t>
            </w:r>
          </w:p>
        </w:tc>
      </w:tr>
      <w:tr>
        <w:trPr>
          <w:trHeight w:val="502" w:hRule="atLeast"/>
        </w:trPr>
        <w:tc>
          <w:tcPr>
            <w:tcW w:w="6943" w:type="dxa"/>
            <w:tcBorders>
              <w:top w:val="double" w:sz="2" w:space="0" w:color="7F7F7F"/>
              <w:bottom w:val="double" w:sz="2" w:space="0" w:color="7F7F7F"/>
              <w:right w:val="thinThickMediumGap" w:sz="6" w:space="0" w:color="000000"/>
            </w:tcBorders>
          </w:tcPr>
          <w:p>
            <w:pPr>
              <w:pStyle w:val="TableParagraph"/>
              <w:spacing w:line="240" w:lineRule="atLeast" w:before="8"/>
              <w:ind w:left="13" w:right="176"/>
              <w:rPr>
                <w:sz w:val="20"/>
              </w:rPr>
            </w:pPr>
            <w:r>
              <w:rPr>
                <w:sz w:val="20"/>
              </w:rPr>
              <w:t>(+/-) Gastos realizados en el ejercicio pendientes de aplicar al presupuesto (cuenta 413 según Orden HAC/1364/2018)</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before="130"/>
              <w:ind w:right="4"/>
              <w:jc w:val="right"/>
              <w:rPr>
                <w:sz w:val="20"/>
              </w:rPr>
            </w:pPr>
            <w:r>
              <w:rPr>
                <w:sz w:val="20"/>
              </w:rPr>
              <w:t>-33.412,69</w:t>
            </w:r>
          </w:p>
        </w:tc>
      </w:tr>
      <w:tr>
        <w:trPr>
          <w:trHeight w:val="504" w:hRule="atLeast"/>
        </w:trPr>
        <w:tc>
          <w:tcPr>
            <w:tcW w:w="6943" w:type="dxa"/>
            <w:tcBorders>
              <w:top w:val="double" w:sz="2" w:space="0" w:color="7F7F7F"/>
              <w:bottom w:val="double" w:sz="2" w:space="0" w:color="7F7F7F"/>
              <w:right w:val="thinThickMediumGap" w:sz="6" w:space="0" w:color="000000"/>
            </w:tcBorders>
          </w:tcPr>
          <w:p>
            <w:pPr>
              <w:pStyle w:val="TableParagraph"/>
              <w:spacing w:line="240" w:lineRule="atLeast" w:before="8"/>
              <w:ind w:left="13" w:right="452"/>
              <w:rPr>
                <w:sz w:val="20"/>
              </w:rPr>
            </w:pPr>
            <w:r>
              <w:rPr>
                <w:sz w:val="20"/>
              </w:rPr>
              <w:t>(+/-) Pagos a socios privados realizados en el marco de las Asociaciones público privadas</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before="130"/>
              <w:ind w:right="4"/>
              <w:jc w:val="right"/>
              <w:rPr>
                <w:sz w:val="20"/>
              </w:rPr>
            </w:pPr>
            <w:r>
              <w:rPr>
                <w:sz w:val="20"/>
              </w:rPr>
              <w:t>0,00</w:t>
            </w:r>
          </w:p>
        </w:tc>
      </w:tr>
      <w:tr>
        <w:trPr>
          <w:trHeight w:val="283"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before="20"/>
              <w:ind w:left="13"/>
              <w:rPr>
                <w:sz w:val="20"/>
              </w:rPr>
            </w:pPr>
            <w:r>
              <w:rPr>
                <w:sz w:val="20"/>
              </w:rPr>
              <w:t>(+/-) Adquisiciones con pago aplazado</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before="20"/>
              <w:ind w:right="4"/>
              <w:jc w:val="right"/>
              <w:rPr>
                <w:sz w:val="20"/>
              </w:rPr>
            </w:pPr>
            <w:r>
              <w:rPr>
                <w:sz w:val="20"/>
              </w:rPr>
              <w:t>0,00</w:t>
            </w:r>
          </w:p>
        </w:tc>
      </w:tr>
      <w:tr>
        <w:trPr>
          <w:trHeight w:val="286"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ind w:left="13"/>
              <w:rPr>
                <w:sz w:val="20"/>
              </w:rPr>
            </w:pPr>
            <w:r>
              <w:rPr>
                <w:sz w:val="20"/>
              </w:rPr>
              <w:t>(+/-) Arrendamiento financiero</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ind w:right="4"/>
              <w:jc w:val="right"/>
              <w:rPr>
                <w:sz w:val="20"/>
              </w:rPr>
            </w:pPr>
            <w:r>
              <w:rPr>
                <w:sz w:val="20"/>
              </w:rPr>
              <w:t>0,00</w:t>
            </w:r>
          </w:p>
        </w:tc>
      </w:tr>
      <w:tr>
        <w:trPr>
          <w:trHeight w:val="283"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before="20"/>
              <w:ind w:left="13"/>
              <w:rPr>
                <w:sz w:val="20"/>
              </w:rPr>
            </w:pPr>
            <w:r>
              <w:rPr>
                <w:sz w:val="20"/>
              </w:rPr>
              <w:t>(+) Préstamos</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before="20"/>
              <w:ind w:right="4"/>
              <w:jc w:val="right"/>
              <w:rPr>
                <w:sz w:val="20"/>
              </w:rPr>
            </w:pPr>
            <w:r>
              <w:rPr>
                <w:sz w:val="20"/>
              </w:rPr>
              <w:t>0,00</w:t>
            </w:r>
          </w:p>
        </w:tc>
      </w:tr>
      <w:tr>
        <w:trPr>
          <w:trHeight w:val="286"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ind w:left="13"/>
              <w:rPr>
                <w:sz w:val="20"/>
              </w:rPr>
            </w:pPr>
            <w:r>
              <w:rPr>
                <w:sz w:val="20"/>
              </w:rPr>
              <w:t>(-) Mecanismo extraordinario de pago proveedores 2012</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ind w:right="4"/>
              <w:jc w:val="right"/>
              <w:rPr>
                <w:sz w:val="20"/>
              </w:rPr>
            </w:pPr>
            <w:r>
              <w:rPr>
                <w:sz w:val="20"/>
              </w:rPr>
              <w:t>0,00</w:t>
            </w:r>
          </w:p>
        </w:tc>
      </w:tr>
      <w:tr>
        <w:trPr>
          <w:trHeight w:val="502" w:hRule="atLeast"/>
        </w:trPr>
        <w:tc>
          <w:tcPr>
            <w:tcW w:w="6943" w:type="dxa"/>
            <w:tcBorders>
              <w:top w:val="double" w:sz="2" w:space="0" w:color="7F7F7F"/>
              <w:bottom w:val="double" w:sz="2" w:space="0" w:color="7F7F7F"/>
              <w:right w:val="thinThickMediumGap" w:sz="6" w:space="0" w:color="000000"/>
            </w:tcBorders>
          </w:tcPr>
          <w:p>
            <w:pPr>
              <w:pStyle w:val="TableParagraph"/>
              <w:spacing w:line="240" w:lineRule="atLeast" w:before="8"/>
              <w:ind w:left="13" w:right="46"/>
              <w:rPr>
                <w:sz w:val="20"/>
              </w:rPr>
            </w:pPr>
            <w:r>
              <w:rPr>
                <w:sz w:val="20"/>
              </w:rPr>
              <w:t>(-) Inversiones realizadas por la Corporación local por cuenta de otra Administración Pública (6)</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before="130"/>
              <w:ind w:right="4"/>
              <w:jc w:val="right"/>
              <w:rPr>
                <w:sz w:val="20"/>
              </w:rPr>
            </w:pPr>
            <w:r>
              <w:rPr>
                <w:sz w:val="20"/>
              </w:rPr>
              <w:t>0,00</w:t>
            </w:r>
          </w:p>
        </w:tc>
      </w:tr>
      <w:tr>
        <w:trPr>
          <w:trHeight w:val="286"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ind w:left="13"/>
              <w:rPr>
                <w:sz w:val="20"/>
              </w:rPr>
            </w:pPr>
            <w:r>
              <w:rPr>
                <w:sz w:val="20"/>
              </w:rPr>
              <w:t>(+/-) Ajuste por grado de ejecución del gasto</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ind w:right="4"/>
              <w:jc w:val="right"/>
              <w:rPr>
                <w:sz w:val="20"/>
              </w:rPr>
            </w:pPr>
            <w:r>
              <w:rPr>
                <w:sz w:val="20"/>
              </w:rPr>
              <w:t>0,00</w:t>
            </w:r>
          </w:p>
        </w:tc>
      </w:tr>
      <w:tr>
        <w:trPr>
          <w:trHeight w:val="283"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before="20"/>
              <w:ind w:left="13"/>
              <w:rPr>
                <w:sz w:val="20"/>
              </w:rPr>
            </w:pPr>
            <w:r>
              <w:rPr>
                <w:sz w:val="20"/>
              </w:rPr>
              <w:t>(+/-) Otros (Especificar) (4)</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before="20"/>
              <w:ind w:right="4"/>
              <w:jc w:val="right"/>
              <w:rPr>
                <w:sz w:val="20"/>
              </w:rPr>
            </w:pPr>
            <w:r>
              <w:rPr>
                <w:sz w:val="20"/>
              </w:rPr>
              <w:t>0,00</w:t>
            </w:r>
          </w:p>
        </w:tc>
      </w:tr>
      <w:tr>
        <w:trPr>
          <w:trHeight w:val="286" w:hRule="atLeast"/>
        </w:trPr>
        <w:tc>
          <w:tcPr>
            <w:tcW w:w="6943" w:type="dxa"/>
            <w:tcBorders>
              <w:top w:val="double" w:sz="2" w:space="0" w:color="7F7F7F"/>
              <w:bottom w:val="double" w:sz="2" w:space="0" w:color="7F7F7F"/>
              <w:right w:val="thinThickMediumGap" w:sz="6" w:space="0" w:color="000000"/>
            </w:tcBorders>
          </w:tcPr>
          <w:p>
            <w:pPr>
              <w:pStyle w:val="TableParagraph"/>
              <w:spacing w:line="244" w:lineRule="exact"/>
              <w:ind w:left="13"/>
              <w:rPr>
                <w:sz w:val="20"/>
              </w:rPr>
            </w:pPr>
            <w:r>
              <w:rPr>
                <w:sz w:val="20"/>
              </w:rPr>
              <w:t>Empleos no financieros terminos SEC excepto intereses de la deuda</w:t>
            </w:r>
          </w:p>
        </w:tc>
        <w:tc>
          <w:tcPr>
            <w:tcW w:w="2366" w:type="dxa"/>
            <w:tcBorders>
              <w:top w:val="double" w:sz="2" w:space="0" w:color="7F7F7F"/>
              <w:left w:val="thickThinMediumGap" w:sz="6" w:space="0" w:color="000000"/>
              <w:bottom w:val="double" w:sz="2" w:space="0" w:color="7F7F7F"/>
              <w:right w:val="single" w:sz="6" w:space="0" w:color="7F7F7F"/>
            </w:tcBorders>
            <w:shd w:val="clear" w:color="auto" w:fill="DDD9C4"/>
          </w:tcPr>
          <w:p>
            <w:pPr>
              <w:pStyle w:val="TableParagraph"/>
              <w:spacing w:line="244" w:lineRule="exact"/>
              <w:ind w:right="4"/>
              <w:jc w:val="right"/>
              <w:rPr>
                <w:sz w:val="20"/>
              </w:rPr>
            </w:pPr>
            <w:r>
              <w:rPr>
                <w:sz w:val="20"/>
              </w:rPr>
              <w:t>30.124.141,83</w:t>
            </w:r>
          </w:p>
        </w:tc>
      </w:tr>
      <w:tr>
        <w:trPr>
          <w:trHeight w:val="507" w:hRule="atLeast"/>
        </w:trPr>
        <w:tc>
          <w:tcPr>
            <w:tcW w:w="6943" w:type="dxa"/>
            <w:tcBorders>
              <w:top w:val="double" w:sz="2" w:space="0" w:color="7F7F7F"/>
              <w:bottom w:val="single" w:sz="6" w:space="0" w:color="7F7F7F"/>
              <w:right w:val="thinThickMediumGap" w:sz="6" w:space="0" w:color="000000"/>
            </w:tcBorders>
          </w:tcPr>
          <w:p>
            <w:pPr>
              <w:pStyle w:val="TableParagraph"/>
              <w:spacing w:line="240" w:lineRule="atLeast" w:before="8"/>
              <w:ind w:left="13" w:right="368"/>
              <w:rPr>
                <w:sz w:val="20"/>
              </w:rPr>
            </w:pPr>
            <w:r>
              <w:rPr>
                <w:sz w:val="20"/>
              </w:rPr>
              <w:t>(-) Pagos por transferencias (y otras operaciones internas) a otras entidades que integran la Corporación Local (2)</w:t>
            </w:r>
          </w:p>
        </w:tc>
        <w:tc>
          <w:tcPr>
            <w:tcW w:w="2366" w:type="dxa"/>
            <w:tcBorders>
              <w:top w:val="double" w:sz="2" w:space="0" w:color="7F7F7F"/>
              <w:left w:val="thickThinMediumGap" w:sz="6" w:space="0" w:color="000000"/>
              <w:bottom w:val="single" w:sz="6" w:space="0" w:color="7F7F7F"/>
              <w:right w:val="single" w:sz="6" w:space="0" w:color="7F7F7F"/>
            </w:tcBorders>
            <w:shd w:val="clear" w:color="auto" w:fill="DDD9C4"/>
          </w:tcPr>
          <w:p>
            <w:pPr>
              <w:pStyle w:val="TableParagraph"/>
              <w:spacing w:before="130"/>
              <w:ind w:right="4"/>
              <w:jc w:val="right"/>
              <w:rPr>
                <w:sz w:val="20"/>
              </w:rPr>
            </w:pPr>
            <w:r>
              <w:rPr>
                <w:sz w:val="20"/>
              </w:rPr>
              <w:t>0,00</w:t>
            </w:r>
          </w:p>
        </w:tc>
      </w:tr>
    </w:tbl>
    <w:p>
      <w:pPr>
        <w:spacing w:after="0"/>
        <w:jc w:val="right"/>
        <w:rPr>
          <w:sz w:val="20"/>
        </w:rPr>
        <w:sectPr>
          <w:pgSz w:w="11900" w:h="16840"/>
          <w:pgMar w:header="698" w:footer="0" w:top="1920" w:bottom="280" w:left="20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24"/>
        </w:rPr>
      </w:pPr>
    </w:p>
    <w:tbl>
      <w:tblPr>
        <w:tblW w:w="0" w:type="auto"/>
        <w:jc w:val="left"/>
        <w:tblInd w:w="746"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top w:w="0" w:type="dxa"/>
          <w:left w:w="0" w:type="dxa"/>
          <w:bottom w:w="0" w:type="dxa"/>
          <w:right w:w="0" w:type="dxa"/>
        </w:tblCellMar>
        <w:tblLook w:val="01E0"/>
      </w:tblPr>
      <w:tblGrid>
        <w:gridCol w:w="6943"/>
        <w:gridCol w:w="2366"/>
      </w:tblGrid>
      <w:tr>
        <w:trPr>
          <w:trHeight w:val="510" w:hRule="atLeast"/>
        </w:trPr>
        <w:tc>
          <w:tcPr>
            <w:tcW w:w="6943" w:type="dxa"/>
            <w:tcBorders>
              <w:left w:val="single" w:sz="12" w:space="0" w:color="000000"/>
              <w:bottom w:val="double" w:sz="2" w:space="0" w:color="7F7F7F"/>
              <w:right w:val="thinThickMediumGap" w:sz="6" w:space="0" w:color="000000"/>
            </w:tcBorders>
          </w:tcPr>
          <w:p>
            <w:pPr>
              <w:pStyle w:val="TableParagraph"/>
              <w:spacing w:line="242" w:lineRule="exact" w:before="12"/>
              <w:ind w:left="13" w:right="230"/>
              <w:rPr>
                <w:sz w:val="20"/>
              </w:rPr>
            </w:pPr>
            <w:r>
              <w:rPr>
                <w:sz w:val="20"/>
              </w:rPr>
              <w:t>(+/-) Gasto financiado con fondos finalistas procedentes de la Unión Europea o de otras Administraciones públicas</w:t>
            </w:r>
          </w:p>
        </w:tc>
        <w:tc>
          <w:tcPr>
            <w:tcW w:w="2366" w:type="dxa"/>
            <w:tcBorders>
              <w:left w:val="thickThinMediumGap" w:sz="6" w:space="0" w:color="000000"/>
              <w:bottom w:val="double" w:sz="2" w:space="0" w:color="7F7F7F"/>
            </w:tcBorders>
            <w:shd w:val="clear" w:color="auto" w:fill="DDD9C4"/>
          </w:tcPr>
          <w:p>
            <w:pPr>
              <w:pStyle w:val="TableParagraph"/>
              <w:spacing w:before="138"/>
              <w:ind w:right="4"/>
              <w:jc w:val="right"/>
              <w:rPr>
                <w:sz w:val="20"/>
              </w:rPr>
            </w:pPr>
            <w:r>
              <w:rPr>
                <w:sz w:val="20"/>
              </w:rPr>
              <w:t>-2.840.714,09</w:t>
            </w:r>
          </w:p>
        </w:tc>
      </w:tr>
      <w:tr>
        <w:trPr>
          <w:trHeight w:val="283" w:hRule="atLeast"/>
        </w:trPr>
        <w:tc>
          <w:tcPr>
            <w:tcW w:w="6943" w:type="dxa"/>
            <w:tcBorders>
              <w:top w:val="double" w:sz="2" w:space="0" w:color="7F7F7F"/>
              <w:left w:val="single" w:sz="12" w:space="0" w:color="000000"/>
              <w:bottom w:val="double" w:sz="2" w:space="0" w:color="7F7F7F"/>
              <w:right w:val="thinThickMediumGap" w:sz="6" w:space="0" w:color="000000"/>
            </w:tcBorders>
          </w:tcPr>
          <w:p>
            <w:pPr>
              <w:pStyle w:val="TableParagraph"/>
              <w:spacing w:line="242" w:lineRule="exact"/>
              <w:ind w:left="13"/>
              <w:rPr>
                <w:sz w:val="20"/>
              </w:rPr>
            </w:pPr>
            <w:r>
              <w:rPr>
                <w:sz w:val="20"/>
              </w:rPr>
              <w:t>Unión Europea</w:t>
            </w:r>
          </w:p>
        </w:tc>
        <w:tc>
          <w:tcPr>
            <w:tcW w:w="2366" w:type="dxa"/>
            <w:tcBorders>
              <w:top w:val="double" w:sz="2" w:space="0" w:color="7F7F7F"/>
              <w:left w:val="thickThinMediumGap" w:sz="6" w:space="0" w:color="000000"/>
              <w:bottom w:val="double" w:sz="2" w:space="0" w:color="7F7F7F"/>
            </w:tcBorders>
            <w:shd w:val="clear" w:color="auto" w:fill="DDD9C4"/>
          </w:tcPr>
          <w:p>
            <w:pPr>
              <w:pStyle w:val="TableParagraph"/>
              <w:spacing w:line="242" w:lineRule="exact"/>
              <w:ind w:right="4"/>
              <w:jc w:val="right"/>
              <w:rPr>
                <w:sz w:val="20"/>
              </w:rPr>
            </w:pPr>
            <w:r>
              <w:rPr>
                <w:sz w:val="20"/>
              </w:rPr>
              <w:t>0,00</w:t>
            </w:r>
          </w:p>
        </w:tc>
      </w:tr>
      <w:tr>
        <w:trPr>
          <w:trHeight w:val="286" w:hRule="atLeast"/>
        </w:trPr>
        <w:tc>
          <w:tcPr>
            <w:tcW w:w="6943" w:type="dxa"/>
            <w:tcBorders>
              <w:top w:val="double" w:sz="2" w:space="0" w:color="7F7F7F"/>
              <w:left w:val="single" w:sz="12" w:space="0" w:color="000000"/>
              <w:bottom w:val="double" w:sz="2" w:space="0" w:color="7F7F7F"/>
              <w:right w:val="thinThickMediumGap" w:sz="6" w:space="0" w:color="000000"/>
            </w:tcBorders>
          </w:tcPr>
          <w:p>
            <w:pPr>
              <w:pStyle w:val="TableParagraph"/>
              <w:spacing w:line="244" w:lineRule="exact"/>
              <w:ind w:left="13"/>
              <w:rPr>
                <w:sz w:val="20"/>
              </w:rPr>
            </w:pPr>
            <w:r>
              <w:rPr>
                <w:sz w:val="20"/>
              </w:rPr>
              <w:t>Estado</w:t>
            </w:r>
          </w:p>
        </w:tc>
        <w:tc>
          <w:tcPr>
            <w:tcW w:w="2366" w:type="dxa"/>
            <w:tcBorders>
              <w:top w:val="double" w:sz="2" w:space="0" w:color="7F7F7F"/>
              <w:left w:val="thickThinMediumGap" w:sz="6" w:space="0" w:color="000000"/>
              <w:bottom w:val="double" w:sz="2" w:space="0" w:color="7F7F7F"/>
            </w:tcBorders>
            <w:shd w:val="clear" w:color="auto" w:fill="DDD9C4"/>
          </w:tcPr>
          <w:p>
            <w:pPr>
              <w:pStyle w:val="TableParagraph"/>
              <w:spacing w:line="244" w:lineRule="exact"/>
              <w:ind w:right="4"/>
              <w:jc w:val="right"/>
              <w:rPr>
                <w:sz w:val="20"/>
              </w:rPr>
            </w:pPr>
            <w:r>
              <w:rPr>
                <w:sz w:val="20"/>
              </w:rPr>
              <w:t>0,00</w:t>
            </w:r>
          </w:p>
        </w:tc>
      </w:tr>
      <w:tr>
        <w:trPr>
          <w:trHeight w:val="283" w:hRule="atLeast"/>
        </w:trPr>
        <w:tc>
          <w:tcPr>
            <w:tcW w:w="6943" w:type="dxa"/>
            <w:tcBorders>
              <w:top w:val="double" w:sz="2" w:space="0" w:color="7F7F7F"/>
              <w:left w:val="single" w:sz="12" w:space="0" w:color="000000"/>
              <w:bottom w:val="double" w:sz="2" w:space="0" w:color="7F7F7F"/>
              <w:right w:val="thinThickMediumGap" w:sz="6" w:space="0" w:color="000000"/>
            </w:tcBorders>
          </w:tcPr>
          <w:p>
            <w:pPr>
              <w:pStyle w:val="TableParagraph"/>
              <w:spacing w:line="242" w:lineRule="exact"/>
              <w:ind w:left="13"/>
              <w:rPr>
                <w:sz w:val="20"/>
              </w:rPr>
            </w:pPr>
            <w:r>
              <w:rPr>
                <w:sz w:val="20"/>
              </w:rPr>
              <w:t>Comunidad Autonoma</w:t>
            </w:r>
          </w:p>
        </w:tc>
        <w:tc>
          <w:tcPr>
            <w:tcW w:w="2366" w:type="dxa"/>
            <w:tcBorders>
              <w:top w:val="double" w:sz="2" w:space="0" w:color="7F7F7F"/>
              <w:left w:val="thickThinMediumGap" w:sz="6" w:space="0" w:color="000000"/>
              <w:bottom w:val="double" w:sz="2" w:space="0" w:color="000000"/>
            </w:tcBorders>
            <w:shd w:val="clear" w:color="auto" w:fill="DDD9C4"/>
          </w:tcPr>
          <w:p>
            <w:pPr>
              <w:pStyle w:val="TableParagraph"/>
              <w:spacing w:line="242" w:lineRule="exact"/>
              <w:ind w:right="4"/>
              <w:jc w:val="right"/>
              <w:rPr>
                <w:sz w:val="20"/>
              </w:rPr>
            </w:pPr>
            <w:r>
              <w:rPr>
                <w:sz w:val="20"/>
              </w:rPr>
              <w:t>-2.208.698,28</w:t>
            </w:r>
          </w:p>
        </w:tc>
      </w:tr>
      <w:tr>
        <w:trPr>
          <w:trHeight w:val="286" w:hRule="atLeast"/>
        </w:trPr>
        <w:tc>
          <w:tcPr>
            <w:tcW w:w="6943" w:type="dxa"/>
            <w:tcBorders>
              <w:top w:val="double" w:sz="2" w:space="0" w:color="7F7F7F"/>
              <w:left w:val="single" w:sz="12" w:space="0" w:color="000000"/>
              <w:bottom w:val="double" w:sz="2" w:space="0" w:color="7F7F7F"/>
              <w:right w:val="thinThickMediumGap" w:sz="6" w:space="0" w:color="000000"/>
            </w:tcBorders>
          </w:tcPr>
          <w:p>
            <w:pPr>
              <w:pStyle w:val="TableParagraph"/>
              <w:spacing w:line="244" w:lineRule="exact"/>
              <w:ind w:left="13"/>
              <w:rPr>
                <w:sz w:val="20"/>
              </w:rPr>
            </w:pPr>
            <w:r>
              <w:rPr>
                <w:sz w:val="20"/>
              </w:rPr>
              <w:t>Diputaciones</w:t>
            </w:r>
          </w:p>
        </w:tc>
        <w:tc>
          <w:tcPr>
            <w:tcW w:w="2366" w:type="dxa"/>
            <w:tcBorders>
              <w:top w:val="double" w:sz="2" w:space="0" w:color="000000"/>
              <w:left w:val="thickThinMediumGap" w:sz="6" w:space="0" w:color="000000"/>
              <w:bottom w:val="double" w:sz="2" w:space="0" w:color="7F7F7F"/>
              <w:right w:val="single" w:sz="6" w:space="0" w:color="000000"/>
            </w:tcBorders>
            <w:shd w:val="clear" w:color="auto" w:fill="DDDDDD"/>
          </w:tcPr>
          <w:p>
            <w:pPr>
              <w:pStyle w:val="TableParagraph"/>
              <w:spacing w:line="232" w:lineRule="exact" w:before="34"/>
              <w:ind w:right="4"/>
              <w:jc w:val="right"/>
              <w:rPr>
                <w:sz w:val="20"/>
              </w:rPr>
            </w:pPr>
            <w:r>
              <w:rPr>
                <w:sz w:val="20"/>
              </w:rPr>
              <w:t>-632015,81</w:t>
            </w:r>
          </w:p>
        </w:tc>
      </w:tr>
      <w:tr>
        <w:trPr>
          <w:trHeight w:val="283" w:hRule="atLeast"/>
        </w:trPr>
        <w:tc>
          <w:tcPr>
            <w:tcW w:w="6943" w:type="dxa"/>
            <w:tcBorders>
              <w:top w:val="double" w:sz="2" w:space="0" w:color="7F7F7F"/>
              <w:left w:val="single" w:sz="12" w:space="0" w:color="000000"/>
              <w:bottom w:val="double" w:sz="2" w:space="0" w:color="7F7F7F"/>
              <w:right w:val="thinThickMediumGap" w:sz="6" w:space="0" w:color="000000"/>
            </w:tcBorders>
          </w:tcPr>
          <w:p>
            <w:pPr>
              <w:pStyle w:val="TableParagraph"/>
              <w:spacing w:line="242" w:lineRule="exact"/>
              <w:ind w:left="13"/>
              <w:rPr>
                <w:sz w:val="20"/>
              </w:rPr>
            </w:pPr>
            <w:r>
              <w:rPr>
                <w:sz w:val="20"/>
              </w:rPr>
              <w:t>Otras Administraciones Públicas</w:t>
            </w:r>
          </w:p>
        </w:tc>
        <w:tc>
          <w:tcPr>
            <w:tcW w:w="2366" w:type="dxa"/>
            <w:tcBorders>
              <w:top w:val="double" w:sz="2" w:space="0" w:color="7F7F7F"/>
              <w:left w:val="thickThinMediumGap" w:sz="6" w:space="0" w:color="000000"/>
              <w:bottom w:val="double" w:sz="2" w:space="0" w:color="7F7F7F"/>
            </w:tcBorders>
            <w:shd w:val="clear" w:color="auto" w:fill="DDD9C4"/>
          </w:tcPr>
          <w:p>
            <w:pPr>
              <w:pStyle w:val="TableParagraph"/>
              <w:spacing w:line="242" w:lineRule="exact"/>
              <w:ind w:right="4"/>
              <w:jc w:val="right"/>
              <w:rPr>
                <w:sz w:val="20"/>
              </w:rPr>
            </w:pPr>
            <w:r>
              <w:rPr>
                <w:sz w:val="20"/>
              </w:rPr>
              <w:t>0,00</w:t>
            </w:r>
          </w:p>
        </w:tc>
      </w:tr>
      <w:tr>
        <w:trPr>
          <w:trHeight w:val="286" w:hRule="atLeast"/>
        </w:trPr>
        <w:tc>
          <w:tcPr>
            <w:tcW w:w="6943" w:type="dxa"/>
            <w:tcBorders>
              <w:top w:val="double" w:sz="2" w:space="0" w:color="7F7F7F"/>
              <w:left w:val="single" w:sz="12" w:space="0" w:color="000000"/>
              <w:bottom w:val="double" w:sz="2" w:space="0" w:color="7F7F7F"/>
              <w:right w:val="thinThickMediumGap" w:sz="6" w:space="0" w:color="000000"/>
            </w:tcBorders>
          </w:tcPr>
          <w:p>
            <w:pPr>
              <w:pStyle w:val="TableParagraph"/>
              <w:spacing w:line="244" w:lineRule="exact"/>
              <w:ind w:left="13"/>
              <w:rPr>
                <w:sz w:val="20"/>
              </w:rPr>
            </w:pPr>
            <w:r>
              <w:rPr>
                <w:sz w:val="20"/>
              </w:rPr>
              <w:t>(-) Transferencias por fondos de los sistemas de financiación (3)</w:t>
            </w:r>
          </w:p>
        </w:tc>
        <w:tc>
          <w:tcPr>
            <w:tcW w:w="2366" w:type="dxa"/>
            <w:tcBorders>
              <w:top w:val="double" w:sz="2" w:space="0" w:color="7F7F7F"/>
              <w:left w:val="thickThinMediumGap" w:sz="6" w:space="0" w:color="000000"/>
              <w:bottom w:val="double" w:sz="2" w:space="0" w:color="7F7F7F"/>
            </w:tcBorders>
            <w:shd w:val="clear" w:color="auto" w:fill="C8C8C8"/>
          </w:tcPr>
          <w:p>
            <w:pPr>
              <w:pStyle w:val="TableParagraph"/>
              <w:spacing w:line="244" w:lineRule="exact"/>
              <w:ind w:right="4"/>
              <w:jc w:val="right"/>
              <w:rPr>
                <w:sz w:val="20"/>
              </w:rPr>
            </w:pPr>
            <w:r>
              <w:rPr>
                <w:sz w:val="20"/>
              </w:rPr>
              <w:t>0,00</w:t>
            </w:r>
          </w:p>
        </w:tc>
      </w:tr>
      <w:tr>
        <w:trPr>
          <w:trHeight w:val="291" w:hRule="atLeast"/>
        </w:trPr>
        <w:tc>
          <w:tcPr>
            <w:tcW w:w="6943" w:type="dxa"/>
            <w:tcBorders>
              <w:top w:val="double" w:sz="2" w:space="0" w:color="7F7F7F"/>
              <w:left w:val="single" w:sz="12" w:space="0" w:color="000000"/>
              <w:bottom w:val="single" w:sz="12" w:space="0" w:color="000000"/>
              <w:right w:val="thinThickMediumGap" w:sz="6" w:space="0" w:color="000000"/>
            </w:tcBorders>
            <w:shd w:val="clear" w:color="auto" w:fill="96B9E6"/>
          </w:tcPr>
          <w:p>
            <w:pPr>
              <w:pStyle w:val="TableParagraph"/>
              <w:ind w:left="13"/>
              <w:rPr>
                <w:sz w:val="20"/>
              </w:rPr>
            </w:pPr>
            <w:r>
              <w:rPr>
                <w:sz w:val="20"/>
              </w:rPr>
              <w:t>Total de Gasto computable del ejercicio</w:t>
            </w:r>
          </w:p>
        </w:tc>
        <w:tc>
          <w:tcPr>
            <w:tcW w:w="2366" w:type="dxa"/>
            <w:tcBorders>
              <w:top w:val="double" w:sz="2" w:space="0" w:color="7F7F7F"/>
              <w:left w:val="thickThinMediumGap" w:sz="6" w:space="0" w:color="000000"/>
              <w:bottom w:val="single" w:sz="12" w:space="0" w:color="000000"/>
            </w:tcBorders>
            <w:shd w:val="clear" w:color="auto" w:fill="DDD9C4"/>
          </w:tcPr>
          <w:p>
            <w:pPr>
              <w:pStyle w:val="TableParagraph"/>
              <w:ind w:right="4"/>
              <w:jc w:val="right"/>
              <w:rPr>
                <w:sz w:val="20"/>
              </w:rPr>
            </w:pPr>
            <w:r>
              <w:rPr>
                <w:sz w:val="20"/>
              </w:rPr>
              <w:t>27.283.427,74</w:t>
            </w:r>
          </w:p>
        </w:tc>
      </w:tr>
    </w:tbl>
    <w:p>
      <w:pPr>
        <w:pStyle w:val="BodyText"/>
      </w:pPr>
    </w:p>
    <w:p>
      <w:pPr>
        <w:pStyle w:val="BodyText"/>
        <w:spacing w:before="10"/>
      </w:pPr>
    </w:p>
    <w:p>
      <w:pPr>
        <w:pStyle w:val="BodyText"/>
        <w:spacing w:before="1"/>
        <w:ind w:left="699" w:right="1720" w:firstLine="708"/>
      </w:pPr>
      <w:r>
        <w:rPr/>
        <w:pict>
          <v:line style="position:absolute;mso-position-horizontal-relative:page;mso-position-vertical-relative:paragraph;z-index:251678720" from="24.35pt,51.205753pt" to="24.35pt,-106.204247pt" stroked="true" strokeweight=".53333pt" strokecolor="#0000ff">
            <v:stroke dashstyle="solid"/>
            <w10:wrap type="none"/>
          </v:line>
        </w:pict>
      </w:r>
      <w:r>
        <w:rPr/>
        <w:pict>
          <v:shape style="position:absolute;margin-left:.597812pt;margin-top:-216.969589pt;width:23.8pt;height:582.2pt;mso-position-horizontal-relative:page;mso-position-vertical-relative:paragraph;z-index:-25274163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15711470763626204765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r>
        <w:rPr/>
        <w:t>Mientras que el gasto computable alcanzado en el cierre de dicho año asciende en su gasto computable a la cantidad de 27.283.427,74 euros por lo que se cumple con el límite de la regla de gasto.</w:t>
      </w:r>
    </w:p>
    <w:p>
      <w:pPr>
        <w:pStyle w:val="BodyText"/>
        <w:spacing w:before="1"/>
      </w:pPr>
    </w:p>
    <w:p>
      <w:pPr>
        <w:spacing w:before="0"/>
        <w:ind w:left="4859" w:right="0" w:firstLine="0"/>
        <w:jc w:val="left"/>
        <w:rPr>
          <w:b/>
          <w:sz w:val="20"/>
        </w:rPr>
      </w:pPr>
      <w:r>
        <w:rPr>
          <w:b/>
          <w:sz w:val="20"/>
          <w:u w:val="single"/>
        </w:rPr>
        <w:t>IV.- RESULTADO DEL INFORME</w:t>
      </w:r>
    </w:p>
    <w:p>
      <w:pPr>
        <w:pStyle w:val="BodyText"/>
        <w:spacing w:before="4"/>
        <w:rPr>
          <w:b/>
          <w:sz w:val="11"/>
        </w:rPr>
      </w:pPr>
    </w:p>
    <w:p>
      <w:pPr>
        <w:spacing w:before="98"/>
        <w:ind w:left="699" w:right="1882" w:firstLine="360"/>
        <w:jc w:val="left"/>
        <w:rPr>
          <w:sz w:val="20"/>
        </w:rPr>
      </w:pPr>
      <w:r>
        <w:rPr>
          <w:sz w:val="20"/>
        </w:rPr>
        <w:t>El expediente de liquidación del Presupuesto de la Corporación del año </w:t>
      </w:r>
      <w:r>
        <w:rPr>
          <w:b/>
          <w:sz w:val="20"/>
        </w:rPr>
        <w:t>2024 </w:t>
      </w:r>
      <w:r>
        <w:rPr>
          <w:sz w:val="20"/>
        </w:rPr>
        <w:t>se </w:t>
      </w:r>
      <w:r>
        <w:rPr>
          <w:i/>
          <w:sz w:val="20"/>
        </w:rPr>
        <w:t>INFORMA CON LAS </w:t>
      </w:r>
      <w:r>
        <w:rPr>
          <w:i/>
          <w:sz w:val="20"/>
        </w:rPr>
        <w:t>SIGUIENTES OBSERVACIONES</w:t>
      </w:r>
      <w:r>
        <w:rPr>
          <w:sz w:val="20"/>
        </w:rPr>
        <w:t>:.</w:t>
      </w:r>
    </w:p>
    <w:p>
      <w:pPr>
        <w:pStyle w:val="BodyText"/>
        <w:spacing w:before="1"/>
      </w:pPr>
    </w:p>
    <w:p>
      <w:pPr>
        <w:pStyle w:val="BodyText"/>
        <w:ind w:left="700" w:right="2145" w:firstLine="360"/>
      </w:pPr>
      <w:r>
        <w:rPr/>
        <w:t>1.- Indicar que la liquidación recoge fielmente las operaciones contables tanto de gastos como de ingresos realizadas por esta corporación a lo largo del ejercicio.</w:t>
      </w:r>
    </w:p>
    <w:p>
      <w:pPr>
        <w:pStyle w:val="BodyText"/>
        <w:spacing w:before="10"/>
        <w:rPr>
          <w:sz w:val="19"/>
        </w:rPr>
      </w:pPr>
    </w:p>
    <w:p>
      <w:pPr>
        <w:pStyle w:val="BodyText"/>
        <w:ind w:left="1060"/>
      </w:pPr>
      <w:r>
        <w:rPr/>
        <w:t>2.- No existe deuda viva al cierre del año.</w:t>
      </w:r>
    </w:p>
    <w:p>
      <w:pPr>
        <w:pStyle w:val="BodyText"/>
        <w:spacing w:before="3"/>
        <w:rPr>
          <w:sz w:val="24"/>
        </w:rPr>
      </w:pPr>
    </w:p>
    <w:p>
      <w:pPr>
        <w:pStyle w:val="BodyText"/>
        <w:spacing w:line="242" w:lineRule="auto"/>
        <w:ind w:left="700" w:right="2739" w:firstLine="360"/>
      </w:pPr>
      <w:r>
        <w:rPr/>
        <w:t>3.- Respecto de las obligaciones reconocidas hay que señalar que en el ejercicio se ha procedido al reconocimiento de una cuantía superior en 2024 respecto de 2023 en aproximadamente 600.000 euros.</w:t>
      </w:r>
    </w:p>
    <w:p>
      <w:pPr>
        <w:pStyle w:val="BodyText"/>
        <w:spacing w:before="1"/>
        <w:rPr>
          <w:sz w:val="24"/>
        </w:rPr>
      </w:pPr>
    </w:p>
    <w:p>
      <w:pPr>
        <w:pStyle w:val="BodyText"/>
        <w:ind w:left="700" w:right="1723" w:firstLine="360"/>
      </w:pPr>
      <w:r>
        <w:rPr/>
        <w:t>Se observa un similar gasto en el capítulo. Al respecto indicar que más de 2 millones de euros de los reconocidos corresponden a personal de convenios y no a personal de plantilla de la corporación. Cabe indicar que existen problemas de medios humanos para la gestión de dichos proyectos de empleo temporal que dificultan la actividad ordinaria de determinados departamentos municipales</w:t>
      </w:r>
    </w:p>
    <w:p>
      <w:pPr>
        <w:pStyle w:val="BodyText"/>
        <w:spacing w:before="4"/>
        <w:rPr>
          <w:sz w:val="24"/>
        </w:rPr>
      </w:pPr>
    </w:p>
    <w:p>
      <w:pPr>
        <w:pStyle w:val="BodyText"/>
        <w:ind w:left="700" w:right="1682" w:firstLine="360"/>
      </w:pPr>
      <w:r>
        <w:rPr/>
        <w:t>Se observa un aumento de obligaciones reconocidas en el capítulo 2 dentro de una cierta normalidad por el aumento del presupuesto de gastos de en torno a 840.000 euros mientras que también aumentan las del capitulo 4 en torno a 150.000 euros.</w:t>
      </w:r>
    </w:p>
    <w:p>
      <w:pPr>
        <w:pStyle w:val="BodyText"/>
        <w:spacing w:before="4"/>
        <w:rPr>
          <w:sz w:val="24"/>
        </w:rPr>
      </w:pPr>
    </w:p>
    <w:p>
      <w:pPr>
        <w:pStyle w:val="BodyText"/>
        <w:ind w:left="700" w:right="1849" w:firstLine="360"/>
      </w:pPr>
      <w:r>
        <w:rPr/>
        <w:t>Por otro lado disminuyen las obligaciones del capítulo 6 de inversión en torno a 425.000 euros lo cual supone un menor porcentaje de ejecución.</w:t>
      </w:r>
    </w:p>
    <w:p>
      <w:pPr>
        <w:pStyle w:val="BodyText"/>
        <w:spacing w:before="6"/>
        <w:rPr>
          <w:sz w:val="24"/>
        </w:rPr>
      </w:pPr>
    </w:p>
    <w:p>
      <w:pPr>
        <w:pStyle w:val="BodyText"/>
        <w:ind w:left="700" w:right="1882" w:firstLine="359"/>
        <w:jc w:val="both"/>
      </w:pPr>
      <w:r>
        <w:rPr/>
        <w:t>4.-En lo que se refiere a los ingresos aumenta la recaudación efectiva en 7,2 millones de euros. Lo primero es indicar que 5 de ellos corresponden a subvenciones recibidas pendientes de ejecución en 2025 como desviaciones de financiación ,ientras en el cierre de 2023 ascendían a 1,2 millones.</w:t>
      </w:r>
    </w:p>
    <w:p>
      <w:pPr>
        <w:pStyle w:val="BodyText"/>
        <w:spacing w:before="3"/>
        <w:rPr>
          <w:sz w:val="24"/>
        </w:rPr>
      </w:pPr>
    </w:p>
    <w:p>
      <w:pPr>
        <w:pStyle w:val="BodyText"/>
        <w:ind w:left="700" w:right="1735" w:firstLine="360"/>
      </w:pPr>
      <w:r>
        <w:rPr/>
        <w:t>Se observa un aumento respecto de la recaudación efectiva; disminuyendo en el capítulo 1 en casi medio millón de euros así como aumentando en 1,1 y en 1,2 respecto de los capítulos 2 y 3 respectivamente. En ccuanto a la</w:t>
      </w:r>
      <w:r>
        <w:rPr>
          <w:spacing w:val="-2"/>
        </w:rPr>
        <w:t> </w:t>
      </w:r>
      <w:r>
        <w:rPr/>
        <w:t>PTE el</w:t>
      </w:r>
      <w:r>
        <w:rPr>
          <w:spacing w:val="-1"/>
        </w:rPr>
        <w:t> </w:t>
      </w:r>
      <w:r>
        <w:rPr/>
        <w:t>aumento</w:t>
      </w:r>
      <w:r>
        <w:rPr>
          <w:spacing w:val="-1"/>
        </w:rPr>
        <w:t> </w:t>
      </w:r>
      <w:r>
        <w:rPr/>
        <w:t>es</w:t>
      </w:r>
      <w:r>
        <w:rPr>
          <w:spacing w:val="-2"/>
        </w:rPr>
        <w:t> </w:t>
      </w:r>
      <w:r>
        <w:rPr/>
        <w:t>de</w:t>
      </w:r>
      <w:r>
        <w:rPr>
          <w:spacing w:val="-3"/>
        </w:rPr>
        <w:t> </w:t>
      </w:r>
      <w:r>
        <w:rPr/>
        <w:t>unos</w:t>
      </w:r>
      <w:r>
        <w:rPr>
          <w:spacing w:val="-4"/>
        </w:rPr>
        <w:t> </w:t>
      </w:r>
      <w:r>
        <w:rPr/>
        <w:t>700.000</w:t>
      </w:r>
      <w:r>
        <w:rPr>
          <w:spacing w:val="-1"/>
        </w:rPr>
        <w:t> </w:t>
      </w:r>
      <w:r>
        <w:rPr/>
        <w:t>euros</w:t>
      </w:r>
      <w:r>
        <w:rPr>
          <w:spacing w:val="-2"/>
        </w:rPr>
        <w:t> </w:t>
      </w:r>
      <w:r>
        <w:rPr/>
        <w:t>mientras</w:t>
      </w:r>
      <w:r>
        <w:rPr>
          <w:spacing w:val="-2"/>
        </w:rPr>
        <w:t> </w:t>
      </w:r>
      <w:r>
        <w:rPr/>
        <w:t>que</w:t>
      </w:r>
      <w:r>
        <w:rPr>
          <w:spacing w:val="-2"/>
        </w:rPr>
        <w:t> </w:t>
      </w:r>
      <w:r>
        <w:rPr/>
        <w:t>el</w:t>
      </w:r>
      <w:r>
        <w:rPr>
          <w:spacing w:val="-4"/>
        </w:rPr>
        <w:t> </w:t>
      </w:r>
      <w:r>
        <w:rPr/>
        <w:t>aumento es</w:t>
      </w:r>
      <w:r>
        <w:rPr>
          <w:spacing w:val="-2"/>
        </w:rPr>
        <w:t> </w:t>
      </w:r>
      <w:r>
        <w:rPr/>
        <w:t>de</w:t>
      </w:r>
      <w:r>
        <w:rPr>
          <w:spacing w:val="-4"/>
        </w:rPr>
        <w:t> </w:t>
      </w:r>
      <w:r>
        <w:rPr/>
        <w:t>2 millones</w:t>
      </w:r>
      <w:r>
        <w:rPr>
          <w:spacing w:val="-2"/>
        </w:rPr>
        <w:t> </w:t>
      </w:r>
      <w:r>
        <w:rPr/>
        <w:t>de</w:t>
      </w:r>
      <w:r>
        <w:rPr>
          <w:spacing w:val="-3"/>
        </w:rPr>
        <w:t> </w:t>
      </w:r>
      <w:r>
        <w:rPr/>
        <w:t>euros</w:t>
      </w:r>
      <w:r>
        <w:rPr>
          <w:spacing w:val="-3"/>
        </w:rPr>
        <w:t> </w:t>
      </w:r>
      <w:r>
        <w:rPr/>
        <w:t>en el</w:t>
      </w:r>
      <w:r>
        <w:rPr>
          <w:spacing w:val="-1"/>
        </w:rPr>
        <w:t> </w:t>
      </w:r>
      <w:r>
        <w:rPr/>
        <w:t>FCFM</w:t>
      </w:r>
      <w:r>
        <w:rPr>
          <w:spacing w:val="-1"/>
        </w:rPr>
        <w:t> </w:t>
      </w:r>
      <w:r>
        <w:rPr/>
        <w:t>pero se</w:t>
      </w:r>
    </w:p>
    <w:p>
      <w:pPr>
        <w:spacing w:after="0"/>
        <w:sectPr>
          <w:pgSz w:w="11900" w:h="16840"/>
          <w:pgMar w:header="698" w:footer="0" w:top="1920" w:bottom="280" w:left="20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6"/>
        </w:rPr>
      </w:pPr>
    </w:p>
    <w:p>
      <w:pPr>
        <w:pStyle w:val="BodyText"/>
        <w:spacing w:before="90"/>
        <w:ind w:left="699" w:right="1767"/>
      </w:pPr>
      <w:r>
        <w:rPr/>
        <w:pict>
          <v:shape style="position:absolute;margin-left:.597812pt;margin-top:-45.359646pt;width:23.8pt;height:582.2pt;mso-position-horizontal-relative:page;mso-position-vertical-relative:paragraph;z-index:-25273958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15711470763626204765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r>
        <w:rPr/>
        <w:t>debe principalmente al desajuste producido por le pago en enero de 2024 del pago final correspondiente a 2023. La realidad es su aumento en unos 300.000euros conforme a las previsiones.</w:t>
      </w:r>
    </w:p>
    <w:p>
      <w:pPr>
        <w:pStyle w:val="BodyText"/>
        <w:spacing w:before="6"/>
        <w:rPr>
          <w:sz w:val="24"/>
        </w:rPr>
      </w:pPr>
    </w:p>
    <w:p>
      <w:pPr>
        <w:pStyle w:val="BodyText"/>
        <w:ind w:left="699" w:right="1851" w:firstLine="360"/>
      </w:pPr>
      <w:r>
        <w:rPr/>
        <w:t>El REF aumenta en medio millón de euros aproximadamente. Por otro lado la efectiva recaudación durante el ejercicio del ICIO restaurado alcanzando 723.000 euros.</w:t>
      </w:r>
    </w:p>
    <w:p>
      <w:pPr>
        <w:pStyle w:val="BodyText"/>
        <w:spacing w:line="510" w:lineRule="atLeast"/>
        <w:ind w:left="1059" w:right="1735"/>
      </w:pPr>
      <w:r>
        <w:rPr/>
        <w:pict>
          <v:line style="position:absolute;mso-position-horizontal-relative:page;mso-position-vertical-relative:paragraph;z-index:251680768" from="24.35pt,158.276692pt" to="24.35pt,.866692pt" stroked="true" strokeweight=".53333pt" strokecolor="#0000ff">
            <v:stroke dashstyle="solid"/>
            <w10:wrap type="none"/>
          </v:line>
        </w:pict>
      </w:r>
      <w:r>
        <w:rPr/>
        <w:t>Especial atención merece la alta recaudación en concepto de IIVTNU si bien desciende en unos 600.000 euros. Indicar que la corporación cuenta a la fecha del cierre con unos fondos líquidos de 35,9 millones de los cuales</w:t>
      </w:r>
    </w:p>
    <w:p>
      <w:pPr>
        <w:pStyle w:val="BodyText"/>
        <w:ind w:left="699" w:right="1818"/>
      </w:pPr>
      <w:r>
        <w:rPr/>
        <w:t>6,1 corresponden a subvenciones recibidas y aún no gastadas así como a PMS con lo que el remanente real de caja ascendería a unos casi 30 millones. Hay remanentes de crédito para inversión al cierre de 2024 dotados con financiación de remanente de tesorería para gastos generales que en su parte autorizada y comprometida habrán de ser incorporados al existir margen en el remanente de tesorería. Al respecto señalar que ello incidirá directamente en el cumplimiento de la regla de gasto para la liquidación de 2025.</w:t>
      </w:r>
    </w:p>
    <w:p>
      <w:pPr>
        <w:pStyle w:val="BodyText"/>
        <w:spacing w:line="512" w:lineRule="exact" w:before="56"/>
        <w:ind w:left="1059" w:right="1882"/>
      </w:pPr>
      <w:r>
        <w:rPr/>
        <w:t>Resultante de todo ello se deduce una cifra final real de remanente que mejora la del 2023 en casi 9 millones Cabe especial mención a los derechos reconocidos por ingresos patrimoniales del capítulo quinto pues faltan</w:t>
      </w:r>
    </w:p>
    <w:p>
      <w:pPr>
        <w:pStyle w:val="BodyText"/>
        <w:spacing w:line="168" w:lineRule="exact"/>
        <w:ind w:left="699"/>
      </w:pPr>
      <w:r>
        <w:rPr/>
        <w:t>numerosos bienes municipales por ser licitados en su explotación y que podrían suponer para la corporación</w:t>
      </w:r>
    </w:p>
    <w:p>
      <w:pPr>
        <w:pStyle w:val="BodyText"/>
        <w:ind w:left="699"/>
      </w:pPr>
      <w:r>
        <w:rPr/>
        <w:t>cuantiosos ingresos.</w:t>
      </w:r>
    </w:p>
    <w:p>
      <w:pPr>
        <w:pStyle w:val="BodyText"/>
        <w:spacing w:before="1"/>
      </w:pPr>
    </w:p>
    <w:p>
      <w:pPr>
        <w:pStyle w:val="BodyText"/>
        <w:ind w:right="4607"/>
        <w:jc w:val="right"/>
      </w:pPr>
      <w:r>
        <w:rPr/>
        <w:t>5º El órgano competente para su aprobación es la Alcaldía Presidencia.</w:t>
      </w:r>
    </w:p>
    <w:p>
      <w:pPr>
        <w:pStyle w:val="BodyText"/>
        <w:spacing w:before="1"/>
      </w:pPr>
    </w:p>
    <w:p>
      <w:pPr>
        <w:pStyle w:val="BodyText"/>
        <w:ind w:left="700" w:right="1393" w:firstLine="700"/>
      </w:pPr>
      <w:r>
        <w:rPr/>
        <w:t>6º De la presente resolución se dará cuenta al Pleno de la Corporación en la primera sesión que se celebre, para su conocimiento y efectos.</w:t>
      </w:r>
    </w:p>
    <w:p>
      <w:pPr>
        <w:pStyle w:val="BodyText"/>
        <w:spacing w:before="10"/>
        <w:rPr>
          <w:sz w:val="19"/>
        </w:rPr>
      </w:pPr>
    </w:p>
    <w:p>
      <w:pPr>
        <w:pStyle w:val="BodyText"/>
        <w:ind w:left="699" w:right="2443" w:firstLine="700"/>
      </w:pPr>
      <w:r>
        <w:rPr/>
        <w:t>7º Se remitirá copia del expediente a los órganos competentes de la Comunidad Autónoma y de la Administración del Estado.</w:t>
      </w:r>
    </w:p>
    <w:p>
      <w:pPr>
        <w:pStyle w:val="BodyText"/>
        <w:rPr>
          <w:sz w:val="22"/>
        </w:rPr>
      </w:pPr>
    </w:p>
    <w:p>
      <w:pPr>
        <w:pStyle w:val="BodyText"/>
        <w:rPr>
          <w:sz w:val="18"/>
        </w:rPr>
      </w:pPr>
    </w:p>
    <w:p>
      <w:pPr>
        <w:pStyle w:val="BodyText"/>
        <w:ind w:left="4484" w:right="5481"/>
        <w:jc w:val="center"/>
      </w:pPr>
      <w:r>
        <w:rPr/>
        <w:t>EL INTERVENTOR</w:t>
      </w:r>
    </w:p>
    <w:p>
      <w:pPr>
        <w:pStyle w:val="BodyText"/>
        <w:spacing w:before="120"/>
        <w:ind w:right="4533"/>
        <w:jc w:val="right"/>
      </w:pPr>
      <w:r>
        <w:rPr/>
        <w:t>Fdo.: Miguel Ángel Guerra Naverán</w:t>
      </w:r>
    </w:p>
    <w:sectPr>
      <w:pgSz w:w="11900" w:h="16840"/>
      <w:pgMar w:header="698" w:footer="0" w:top="1920" w:bottom="280" w:left="2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Wingdings">
    <w:altName w:val="Wingdings"/>
    <w:charset w:val="2"/>
    <w:family w:val="auto"/>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553344">
          <wp:simplePos x="0" y="0"/>
          <wp:positionH relativeFrom="page">
            <wp:posOffset>1106424</wp:posOffset>
          </wp:positionH>
          <wp:positionV relativeFrom="page">
            <wp:posOffset>443478</wp:posOffset>
          </wp:positionV>
          <wp:extent cx="507491" cy="78638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07491" cy="78638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60" w:hanging="360"/>
      </w:pPr>
      <w:rPr>
        <w:rFonts w:hint="default" w:ascii="Symbol" w:hAnsi="Symbol" w:eastAsia="Symbol" w:cs="Symbol"/>
        <w:w w:val="99"/>
        <w:sz w:val="20"/>
        <w:szCs w:val="20"/>
      </w:rPr>
    </w:lvl>
    <w:lvl w:ilvl="1">
      <w:start w:val="0"/>
      <w:numFmt w:val="bullet"/>
      <w:lvlText w:val=""/>
      <w:lvlJc w:val="left"/>
      <w:pPr>
        <w:ind w:left="1768" w:hanging="360"/>
      </w:pPr>
      <w:rPr>
        <w:rFonts w:hint="default" w:ascii="Wingdings" w:hAnsi="Wingdings" w:eastAsia="Wingdings" w:cs="Wingdings"/>
        <w:w w:val="99"/>
        <w:sz w:val="20"/>
        <w:szCs w:val="20"/>
      </w:rPr>
    </w:lvl>
    <w:lvl w:ilvl="2">
      <w:start w:val="0"/>
      <w:numFmt w:val="bullet"/>
      <w:lvlText w:val="•"/>
      <w:lvlJc w:val="left"/>
      <w:pPr>
        <w:ind w:left="4900" w:hanging="360"/>
      </w:pPr>
      <w:rPr>
        <w:rFonts w:hint="default"/>
      </w:rPr>
    </w:lvl>
    <w:lvl w:ilvl="3">
      <w:start w:val="0"/>
      <w:numFmt w:val="bullet"/>
      <w:lvlText w:val="•"/>
      <w:lvlJc w:val="left"/>
      <w:pPr>
        <w:ind w:left="5750" w:hanging="360"/>
      </w:pPr>
      <w:rPr>
        <w:rFonts w:hint="default"/>
      </w:rPr>
    </w:lvl>
    <w:lvl w:ilvl="4">
      <w:start w:val="0"/>
      <w:numFmt w:val="bullet"/>
      <w:lvlText w:val="•"/>
      <w:lvlJc w:val="left"/>
      <w:pPr>
        <w:ind w:left="6600" w:hanging="360"/>
      </w:pPr>
      <w:rPr>
        <w:rFonts w:hint="default"/>
      </w:rPr>
    </w:lvl>
    <w:lvl w:ilvl="5">
      <w:start w:val="0"/>
      <w:numFmt w:val="bullet"/>
      <w:lvlText w:val="•"/>
      <w:lvlJc w:val="left"/>
      <w:pPr>
        <w:ind w:left="7450" w:hanging="360"/>
      </w:pPr>
      <w:rPr>
        <w:rFonts w:hint="default"/>
      </w:rPr>
    </w:lvl>
    <w:lvl w:ilvl="6">
      <w:start w:val="0"/>
      <w:numFmt w:val="bullet"/>
      <w:lvlText w:val="•"/>
      <w:lvlJc w:val="left"/>
      <w:pPr>
        <w:ind w:left="8300" w:hanging="360"/>
      </w:pPr>
      <w:rPr>
        <w:rFonts w:hint="default"/>
      </w:rPr>
    </w:lvl>
    <w:lvl w:ilvl="7">
      <w:start w:val="0"/>
      <w:numFmt w:val="bullet"/>
      <w:lvlText w:val="•"/>
      <w:lvlJc w:val="left"/>
      <w:pPr>
        <w:ind w:left="9150" w:hanging="360"/>
      </w:pPr>
      <w:rPr>
        <w:rFonts w:hint="default"/>
      </w:rPr>
    </w:lvl>
    <w:lvl w:ilvl="8">
      <w:start w:val="0"/>
      <w:numFmt w:val="bullet"/>
      <w:lvlText w:val="•"/>
      <w:lvlJc w:val="left"/>
      <w:pPr>
        <w:ind w:left="1000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983"/>
      <w:outlineLvl w:val="1"/>
    </w:pPr>
    <w:rPr>
      <w:rFonts w:ascii="Times New Roman" w:hAnsi="Times New Roman" w:eastAsia="Times New Roman" w:cs="Times New Roman"/>
      <w:b/>
      <w:bCs/>
      <w:sz w:val="20"/>
      <w:szCs w:val="20"/>
    </w:rPr>
  </w:style>
  <w:style w:styleId="Heading2" w:type="paragraph">
    <w:name w:val="Heading 2"/>
    <w:basedOn w:val="Normal"/>
    <w:uiPriority w:val="1"/>
    <w:qFormat/>
    <w:pPr>
      <w:ind w:left="1400"/>
      <w:outlineLvl w:val="2"/>
    </w:pPr>
    <w:rPr>
      <w:rFonts w:ascii="Times New Roman" w:hAnsi="Times New Roman" w:eastAsia="Times New Roman" w:cs="Times New Roman"/>
      <w:b/>
      <w:bCs/>
      <w:i/>
      <w:sz w:val="20"/>
      <w:szCs w:val="20"/>
      <w:u w:val="single" w:color="000000"/>
    </w:rPr>
  </w:style>
  <w:style w:styleId="ListParagraph" w:type="paragraph">
    <w:name w:val="List Paragraph"/>
    <w:basedOn w:val="Normal"/>
    <w:uiPriority w:val="1"/>
    <w:qFormat/>
    <w:pPr>
      <w:ind w:left="1060" w:hanging="360"/>
    </w:pPr>
    <w:rPr>
      <w:rFonts w:ascii="Times New Roman" w:hAnsi="Times New Roman" w:eastAsia="Times New Roman" w:cs="Times New Roman"/>
    </w:rPr>
  </w:style>
  <w:style w:styleId="TableParagraph" w:type="paragraph">
    <w:name w:val="Table Paragraph"/>
    <w:basedOn w:val="Normal"/>
    <w:uiPriority w:val="1"/>
    <w:qFormat/>
    <w:pPr>
      <w:spacing w:before="22"/>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ede.ayuntamientodetias.es/validacion"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maguerra</dc:creator>
  <dc:title>Informe de Intervención liquidacion 2024</dc:title>
  <dcterms:created xsi:type="dcterms:W3CDTF">2025-06-23T12:58:32Z</dcterms:created>
  <dcterms:modified xsi:type="dcterms:W3CDTF">2025-06-23T12:58:32Z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PDFCreator Free 5.0.2</vt:lpwstr>
  </property>
  <property fmtid="{D5CDD505-2E9C-101B-9397-08002B2CF9AE}" pid="4" name="LastSaved">
    <vt:filetime>2025-06-23T00:00:00Z</vt:filetime>
  </property>
</Properties>
</file>