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0"/>
        <w:ind w:left="2765" w:right="2783"/>
        <w:jc w:val="center"/>
      </w:pPr>
      <w:r>
        <w:rPr/>
        <w:t>CONSULTA PÚBLICA PREVIA</w:t>
      </w:r>
    </w:p>
    <w:p>
      <w:pPr>
        <w:pStyle w:val="BodyText"/>
        <w:rPr>
          <w:b/>
          <w:sz w:val="24"/>
        </w:rPr>
      </w:pPr>
    </w:p>
    <w:p>
      <w:pPr>
        <w:pStyle w:val="BodyText"/>
        <w:spacing w:line="276" w:lineRule="auto"/>
        <w:ind w:left="102" w:right="118" w:firstLine="707"/>
        <w:jc w:val="both"/>
      </w:pPr>
      <w:r>
        <w:rPr/>
        <w:t>En</w:t>
      </w:r>
      <w:r>
        <w:rPr>
          <w:spacing w:val="-14"/>
        </w:rPr>
        <w:t> </w:t>
      </w:r>
      <w:r>
        <w:rPr/>
        <w:t>el</w:t>
      </w:r>
      <w:r>
        <w:rPr>
          <w:spacing w:val="-14"/>
        </w:rPr>
        <w:t> </w:t>
      </w:r>
      <w:r>
        <w:rPr/>
        <w:t>marco</w:t>
      </w:r>
      <w:r>
        <w:rPr>
          <w:spacing w:val="-16"/>
        </w:rPr>
        <w:t> </w:t>
      </w:r>
      <w:r>
        <w:rPr/>
        <w:t>de</w:t>
      </w:r>
      <w:r>
        <w:rPr>
          <w:spacing w:val="-13"/>
        </w:rPr>
        <w:t> </w:t>
      </w:r>
      <w:r>
        <w:rPr/>
        <w:t>lo</w:t>
      </w:r>
      <w:r>
        <w:rPr>
          <w:spacing w:val="-14"/>
        </w:rPr>
        <w:t> </w:t>
      </w:r>
      <w:r>
        <w:rPr/>
        <w:t>dispuesto</w:t>
      </w:r>
      <w:r>
        <w:rPr>
          <w:spacing w:val="-12"/>
        </w:rPr>
        <w:t> </w:t>
      </w:r>
      <w:r>
        <w:rPr/>
        <w:t>en</w:t>
      </w:r>
      <w:r>
        <w:rPr>
          <w:spacing w:val="-14"/>
        </w:rPr>
        <w:t> </w:t>
      </w:r>
      <w:r>
        <w:rPr/>
        <w:t>el</w:t>
      </w:r>
      <w:r>
        <w:rPr>
          <w:spacing w:val="-14"/>
        </w:rPr>
        <w:t> </w:t>
      </w:r>
      <w:r>
        <w:rPr/>
        <w:t>artículo</w:t>
      </w:r>
      <w:r>
        <w:rPr>
          <w:spacing w:val="-14"/>
        </w:rPr>
        <w:t> </w:t>
      </w:r>
      <w:r>
        <w:rPr/>
        <w:t>133</w:t>
      </w:r>
      <w:r>
        <w:rPr>
          <w:spacing w:val="-13"/>
        </w:rPr>
        <w:t> </w:t>
      </w:r>
      <w:r>
        <w:rPr/>
        <w:t>de</w:t>
      </w:r>
      <w:r>
        <w:rPr>
          <w:spacing w:val="-14"/>
        </w:rPr>
        <w:t> </w:t>
      </w:r>
      <w:r>
        <w:rPr/>
        <w:t>la</w:t>
      </w:r>
      <w:r>
        <w:rPr>
          <w:spacing w:val="-13"/>
        </w:rPr>
        <w:t> </w:t>
      </w:r>
      <w:r>
        <w:rPr/>
        <w:t>Ley</w:t>
      </w:r>
      <w:r>
        <w:rPr>
          <w:spacing w:val="-13"/>
        </w:rPr>
        <w:t> </w:t>
      </w:r>
      <w:r>
        <w:rPr/>
        <w:t>39/2015,</w:t>
      </w:r>
      <w:r>
        <w:rPr>
          <w:spacing w:val="-11"/>
        </w:rPr>
        <w:t> </w:t>
      </w:r>
      <w:r>
        <w:rPr/>
        <w:t>de</w:t>
      </w:r>
      <w:r>
        <w:rPr>
          <w:spacing w:val="-14"/>
        </w:rPr>
        <w:t> </w:t>
      </w:r>
      <w:r>
        <w:rPr/>
        <w:t>1</w:t>
      </w:r>
      <w:r>
        <w:rPr>
          <w:spacing w:val="-15"/>
        </w:rPr>
        <w:t> </w:t>
      </w:r>
      <w:r>
        <w:rPr/>
        <w:t>de</w:t>
      </w:r>
      <w:r>
        <w:rPr>
          <w:spacing w:val="-14"/>
        </w:rPr>
        <w:t> </w:t>
      </w:r>
      <w:r>
        <w:rPr/>
        <w:t>octubre, del Procedimiento Administrativo Común de las Administraciones Públicas, la Alcaldía del Ayuntamiento de Tías practica esta consulta pública previa para la participación de los ciudadanos en el procedimiento de modificación del “REGLAMENTO ORGÁNICO </w:t>
      </w:r>
      <w:r>
        <w:rPr>
          <w:spacing w:val="-3"/>
        </w:rPr>
        <w:t>MUNICIPAL </w:t>
      </w:r>
      <w:r>
        <w:rPr/>
        <w:t>DEL </w:t>
      </w:r>
      <w:r>
        <w:rPr>
          <w:spacing w:val="-5"/>
        </w:rPr>
        <w:t>AYUNTAMIENTO </w:t>
      </w:r>
      <w:r>
        <w:rPr/>
        <w:t>DE TÍAS” con arreglo a los siguientes</w:t>
      </w:r>
      <w:r>
        <w:rPr>
          <w:spacing w:val="-31"/>
        </w:rPr>
        <w:t> </w:t>
      </w:r>
      <w:r>
        <w:rPr/>
        <w:t>aspectos:</w:t>
      </w:r>
    </w:p>
    <w:p>
      <w:pPr>
        <w:pStyle w:val="BodyText"/>
        <w:spacing w:before="9"/>
        <w:rPr>
          <w:sz w:val="20"/>
        </w:rPr>
      </w:pPr>
    </w:p>
    <w:p>
      <w:pPr>
        <w:pStyle w:val="Heading1"/>
      </w:pPr>
      <w:r>
        <w:rPr/>
        <w:t>I.- Los Problemas que se pretenden solucionar con la iniciativa.</w:t>
      </w:r>
    </w:p>
    <w:p>
      <w:pPr>
        <w:pStyle w:val="BodyText"/>
        <w:spacing w:before="4"/>
        <w:rPr>
          <w:b/>
          <w:sz w:val="24"/>
        </w:rPr>
      </w:pPr>
    </w:p>
    <w:p>
      <w:pPr>
        <w:pStyle w:val="BodyText"/>
        <w:spacing w:line="276" w:lineRule="auto" w:before="0"/>
        <w:ind w:left="102" w:right="114" w:firstLine="707"/>
        <w:jc w:val="both"/>
      </w:pPr>
      <w:r>
        <w:rPr/>
        <w:t>Se justifica la presente iniciativa normativa por razones de interés municipal siendo el fin perseguido en materia de autoorganización municipal, la modificación del Reglamento Orgánico Municipal del Ayuntamiento de Tías, para el establecimiento y regulación</w:t>
      </w:r>
      <w:r>
        <w:rPr>
          <w:spacing w:val="-14"/>
        </w:rPr>
        <w:t> </w:t>
      </w:r>
      <w:r>
        <w:rPr/>
        <w:t>de</w:t>
      </w:r>
      <w:r>
        <w:rPr>
          <w:spacing w:val="-14"/>
        </w:rPr>
        <w:t> </w:t>
      </w:r>
      <w:r>
        <w:rPr/>
        <w:t>un</w:t>
      </w:r>
      <w:r>
        <w:rPr>
          <w:spacing w:val="-14"/>
        </w:rPr>
        <w:t> </w:t>
      </w:r>
      <w:r>
        <w:rPr/>
        <w:t>órgano</w:t>
      </w:r>
      <w:r>
        <w:rPr>
          <w:spacing w:val="-15"/>
        </w:rPr>
        <w:t> </w:t>
      </w:r>
      <w:r>
        <w:rPr/>
        <w:t>municipal</w:t>
      </w:r>
      <w:r>
        <w:rPr>
          <w:spacing w:val="-14"/>
        </w:rPr>
        <w:t> </w:t>
      </w:r>
      <w:r>
        <w:rPr/>
        <w:t>complementario,</w:t>
      </w:r>
      <w:r>
        <w:rPr>
          <w:spacing w:val="-12"/>
        </w:rPr>
        <w:t> </w:t>
      </w:r>
      <w:r>
        <w:rPr/>
        <w:t>de</w:t>
      </w:r>
      <w:r>
        <w:rPr>
          <w:spacing w:val="-15"/>
        </w:rPr>
        <w:t> </w:t>
      </w:r>
      <w:r>
        <w:rPr/>
        <w:t>coordinación</w:t>
      </w:r>
      <w:r>
        <w:rPr>
          <w:spacing w:val="-14"/>
        </w:rPr>
        <w:t> </w:t>
      </w:r>
      <w:r>
        <w:rPr/>
        <w:t>entre</w:t>
      </w:r>
      <w:r>
        <w:rPr>
          <w:spacing w:val="-13"/>
        </w:rPr>
        <w:t> </w:t>
      </w:r>
      <w:r>
        <w:rPr/>
        <w:t>las</w:t>
      </w:r>
      <w:r>
        <w:rPr>
          <w:spacing w:val="-12"/>
        </w:rPr>
        <w:t> </w:t>
      </w:r>
      <w:r>
        <w:rPr/>
        <w:t>diferentes áreas de la Entidad Local relacionadas, directa o indirectamente con el turismo, como municipio</w:t>
      </w:r>
      <w:r>
        <w:rPr>
          <w:spacing w:val="-14"/>
        </w:rPr>
        <w:t> </w:t>
      </w:r>
      <w:r>
        <w:rPr/>
        <w:t>miembro</w:t>
      </w:r>
      <w:r>
        <w:rPr>
          <w:spacing w:val="-15"/>
        </w:rPr>
        <w:t> </w:t>
      </w:r>
      <w:r>
        <w:rPr/>
        <w:t>de</w:t>
      </w:r>
      <w:r>
        <w:rPr>
          <w:spacing w:val="-17"/>
        </w:rPr>
        <w:t> </w:t>
      </w:r>
      <w:r>
        <w:rPr/>
        <w:t>la</w:t>
      </w:r>
      <w:r>
        <w:rPr>
          <w:spacing w:val="-18"/>
        </w:rPr>
        <w:t> </w:t>
      </w:r>
      <w:r>
        <w:rPr/>
        <w:t>Red</w:t>
      </w:r>
      <w:r>
        <w:rPr>
          <w:spacing w:val="-14"/>
        </w:rPr>
        <w:t> </w:t>
      </w:r>
      <w:r>
        <w:rPr/>
        <w:t>de</w:t>
      </w:r>
      <w:r>
        <w:rPr>
          <w:spacing w:val="-17"/>
        </w:rPr>
        <w:t> </w:t>
      </w:r>
      <w:r>
        <w:rPr/>
        <w:t>Destinos</w:t>
      </w:r>
      <w:r>
        <w:rPr>
          <w:spacing w:val="-20"/>
        </w:rPr>
        <w:t> </w:t>
      </w:r>
      <w:r>
        <w:rPr/>
        <w:t>Turísticos</w:t>
      </w:r>
      <w:r>
        <w:rPr>
          <w:spacing w:val="-16"/>
        </w:rPr>
        <w:t> </w:t>
      </w:r>
      <w:r>
        <w:rPr/>
        <w:t>Inteligentes,</w:t>
      </w:r>
      <w:r>
        <w:rPr>
          <w:spacing w:val="-11"/>
        </w:rPr>
        <w:t> </w:t>
      </w:r>
      <w:r>
        <w:rPr/>
        <w:t>además</w:t>
      </w:r>
      <w:r>
        <w:rPr>
          <w:spacing w:val="-16"/>
        </w:rPr>
        <w:t> </w:t>
      </w:r>
      <w:r>
        <w:rPr/>
        <w:t>tratándose</w:t>
      </w:r>
      <w:r>
        <w:rPr>
          <w:spacing w:val="-16"/>
        </w:rPr>
        <w:t> </w:t>
      </w:r>
      <w:r>
        <w:rPr/>
        <w:t>del instrumento más adecuado para garantizar su</w:t>
      </w:r>
      <w:r>
        <w:rPr>
          <w:spacing w:val="-10"/>
        </w:rPr>
        <w:t> </w:t>
      </w:r>
      <w:r>
        <w:rPr/>
        <w:t>consecución.</w:t>
      </w:r>
    </w:p>
    <w:p>
      <w:pPr>
        <w:pStyle w:val="BodyText"/>
        <w:spacing w:before="9"/>
        <w:rPr>
          <w:sz w:val="20"/>
        </w:rPr>
      </w:pPr>
    </w:p>
    <w:p>
      <w:pPr>
        <w:pStyle w:val="Heading1"/>
        <w:spacing w:before="1"/>
      </w:pPr>
      <w:r>
        <w:rPr/>
        <w:t>II.- La necesidad y oportunidad de su aprobación.</w:t>
      </w:r>
    </w:p>
    <w:p>
      <w:pPr>
        <w:pStyle w:val="BodyText"/>
        <w:rPr>
          <w:b/>
          <w:sz w:val="24"/>
        </w:rPr>
      </w:pPr>
    </w:p>
    <w:p>
      <w:pPr>
        <w:pStyle w:val="BodyText"/>
        <w:spacing w:line="276" w:lineRule="auto" w:before="0"/>
        <w:ind w:left="102" w:right="115" w:firstLine="707"/>
        <w:jc w:val="both"/>
      </w:pPr>
      <w:r>
        <w:rPr/>
        <w:t>Su</w:t>
      </w:r>
      <w:r>
        <w:rPr>
          <w:spacing w:val="-17"/>
        </w:rPr>
        <w:t> </w:t>
      </w:r>
      <w:r>
        <w:rPr/>
        <w:t>modificación</w:t>
      </w:r>
      <w:r>
        <w:rPr>
          <w:spacing w:val="-16"/>
        </w:rPr>
        <w:t> </w:t>
      </w:r>
      <w:r>
        <w:rPr/>
        <w:t>responde</w:t>
      </w:r>
      <w:r>
        <w:rPr>
          <w:spacing w:val="-16"/>
        </w:rPr>
        <w:t> </w:t>
      </w:r>
      <w:r>
        <w:rPr/>
        <w:t>a</w:t>
      </w:r>
      <w:r>
        <w:rPr>
          <w:spacing w:val="-16"/>
        </w:rPr>
        <w:t> </w:t>
      </w:r>
      <w:r>
        <w:rPr/>
        <w:t>la</w:t>
      </w:r>
      <w:r>
        <w:rPr>
          <w:spacing w:val="-17"/>
        </w:rPr>
        <w:t> </w:t>
      </w:r>
      <w:r>
        <w:rPr/>
        <w:t>necesidad</w:t>
      </w:r>
      <w:r>
        <w:rPr>
          <w:spacing w:val="-16"/>
        </w:rPr>
        <w:t> </w:t>
      </w:r>
      <w:r>
        <w:rPr/>
        <w:t>y</w:t>
      </w:r>
      <w:r>
        <w:rPr>
          <w:spacing w:val="-16"/>
        </w:rPr>
        <w:t> </w:t>
      </w:r>
      <w:r>
        <w:rPr/>
        <w:t>oportunidad</w:t>
      </w:r>
      <w:r>
        <w:rPr>
          <w:spacing w:val="-16"/>
        </w:rPr>
        <w:t> </w:t>
      </w:r>
      <w:r>
        <w:rPr/>
        <w:t>de</w:t>
      </w:r>
      <w:r>
        <w:rPr>
          <w:spacing w:val="-16"/>
        </w:rPr>
        <w:t> </w:t>
      </w:r>
      <w:r>
        <w:rPr/>
        <w:t>cumplir</w:t>
      </w:r>
      <w:r>
        <w:rPr>
          <w:spacing w:val="-15"/>
        </w:rPr>
        <w:t> </w:t>
      </w:r>
      <w:r>
        <w:rPr/>
        <w:t>con</w:t>
      </w:r>
      <w:r>
        <w:rPr>
          <w:spacing w:val="-19"/>
        </w:rPr>
        <w:t> </w:t>
      </w:r>
      <w:r>
        <w:rPr/>
        <w:t>lo</w:t>
      </w:r>
      <w:r>
        <w:rPr>
          <w:spacing w:val="-16"/>
        </w:rPr>
        <w:t> </w:t>
      </w:r>
      <w:r>
        <w:rPr/>
        <w:t>previsto en el Reglamento de funcionamiento de los órganos de gestión de la Red de Destinos Turísticos</w:t>
      </w:r>
      <w:r>
        <w:rPr>
          <w:spacing w:val="-8"/>
        </w:rPr>
        <w:t> </w:t>
      </w:r>
      <w:r>
        <w:rPr/>
        <w:t>Inteligentes</w:t>
      </w:r>
      <w:r>
        <w:rPr>
          <w:spacing w:val="-7"/>
        </w:rPr>
        <w:t> </w:t>
      </w:r>
      <w:r>
        <w:rPr/>
        <w:t>(Red</w:t>
      </w:r>
      <w:r>
        <w:rPr>
          <w:spacing w:val="-5"/>
        </w:rPr>
        <w:t> </w:t>
      </w:r>
      <w:r>
        <w:rPr/>
        <w:t>DTI),</w:t>
      </w:r>
      <w:r>
        <w:rPr>
          <w:spacing w:val="-6"/>
        </w:rPr>
        <w:t> </w:t>
      </w:r>
      <w:r>
        <w:rPr/>
        <w:t>cuyo</w:t>
      </w:r>
      <w:r>
        <w:rPr>
          <w:spacing w:val="-20"/>
        </w:rPr>
        <w:t> </w:t>
      </w:r>
      <w:r>
        <w:rPr/>
        <w:t>Anexo</w:t>
      </w:r>
      <w:r>
        <w:rPr>
          <w:spacing w:val="-7"/>
        </w:rPr>
        <w:t> </w:t>
      </w:r>
      <w:r>
        <w:rPr/>
        <w:t>X</w:t>
      </w:r>
      <w:r>
        <w:rPr>
          <w:spacing w:val="-5"/>
        </w:rPr>
        <w:t> </w:t>
      </w:r>
      <w:r>
        <w:rPr/>
        <w:t>establece</w:t>
      </w:r>
      <w:r>
        <w:rPr>
          <w:spacing w:val="-6"/>
        </w:rPr>
        <w:t> </w:t>
      </w:r>
      <w:r>
        <w:rPr/>
        <w:t>las</w:t>
      </w:r>
      <w:r>
        <w:rPr>
          <w:spacing w:val="-7"/>
        </w:rPr>
        <w:t> </w:t>
      </w:r>
      <w:r>
        <w:rPr/>
        <w:t>definiciones</w:t>
      </w:r>
      <w:r>
        <w:rPr>
          <w:spacing w:val="-10"/>
        </w:rPr>
        <w:t> </w:t>
      </w:r>
      <w:r>
        <w:rPr/>
        <w:t>básicas</w:t>
      </w:r>
      <w:r>
        <w:rPr>
          <w:spacing w:val="-5"/>
        </w:rPr>
        <w:t> </w:t>
      </w:r>
      <w:r>
        <w:rPr/>
        <w:t>de</w:t>
      </w:r>
      <w:r>
        <w:rPr>
          <w:spacing w:val="-8"/>
        </w:rPr>
        <w:t> </w:t>
      </w:r>
      <w:r>
        <w:rPr/>
        <w:t>la Comisión Interdepartamental, y su posterior conversión a Comisión de Seguimiento, pretendiendo</w:t>
      </w:r>
      <w:r>
        <w:rPr>
          <w:spacing w:val="-10"/>
        </w:rPr>
        <w:t> </w:t>
      </w:r>
      <w:r>
        <w:rPr/>
        <w:t>asegurar</w:t>
      </w:r>
      <w:r>
        <w:rPr>
          <w:spacing w:val="-7"/>
        </w:rPr>
        <w:t> </w:t>
      </w:r>
      <w:r>
        <w:rPr/>
        <w:t>su</w:t>
      </w:r>
      <w:r>
        <w:rPr>
          <w:spacing w:val="-5"/>
        </w:rPr>
        <w:t> </w:t>
      </w:r>
      <w:r>
        <w:rPr/>
        <w:t>buena</w:t>
      </w:r>
      <w:r>
        <w:rPr>
          <w:spacing w:val="-8"/>
        </w:rPr>
        <w:t> </w:t>
      </w:r>
      <w:r>
        <w:rPr/>
        <w:t>regulación,</w:t>
      </w:r>
      <w:r>
        <w:rPr>
          <w:spacing w:val="-8"/>
        </w:rPr>
        <w:t> </w:t>
      </w:r>
      <w:r>
        <w:rPr/>
        <w:t>garantizar</w:t>
      </w:r>
      <w:r>
        <w:rPr>
          <w:spacing w:val="-7"/>
        </w:rPr>
        <w:t> </w:t>
      </w:r>
      <w:r>
        <w:rPr/>
        <w:t>de</w:t>
      </w:r>
      <w:r>
        <w:rPr>
          <w:spacing w:val="-9"/>
        </w:rPr>
        <w:t> </w:t>
      </w:r>
      <w:r>
        <w:rPr/>
        <w:t>modo</w:t>
      </w:r>
      <w:r>
        <w:rPr>
          <w:spacing w:val="-8"/>
        </w:rPr>
        <w:t> </w:t>
      </w:r>
      <w:r>
        <w:rPr/>
        <w:t>adecuado</w:t>
      </w:r>
      <w:r>
        <w:rPr>
          <w:spacing w:val="-6"/>
        </w:rPr>
        <w:t> </w:t>
      </w:r>
      <w:r>
        <w:rPr/>
        <w:t>la</w:t>
      </w:r>
      <w:r>
        <w:rPr>
          <w:spacing w:val="-9"/>
        </w:rPr>
        <w:t> </w:t>
      </w:r>
      <w:r>
        <w:rPr/>
        <w:t>audiencia y participación de los ciudadanos y armonizando la normativa existente relativa a la autoorganización</w:t>
      </w:r>
      <w:r>
        <w:rPr>
          <w:spacing w:val="-1"/>
        </w:rPr>
        <w:t> </w:t>
      </w:r>
      <w:r>
        <w:rPr/>
        <w:t>administrativa.</w:t>
      </w:r>
    </w:p>
    <w:p>
      <w:pPr>
        <w:pStyle w:val="BodyText"/>
        <w:spacing w:before="0"/>
        <w:rPr>
          <w:sz w:val="21"/>
        </w:rPr>
      </w:pPr>
    </w:p>
    <w:p>
      <w:pPr>
        <w:pStyle w:val="Heading1"/>
        <w:rPr>
          <w:b w:val="0"/>
        </w:rPr>
      </w:pPr>
      <w:r>
        <w:rPr/>
        <w:t>III.-Objetivos de la norma</w:t>
      </w:r>
      <w:r>
        <w:rPr>
          <w:b w:val="0"/>
        </w:rPr>
        <w:t>.</w:t>
      </w:r>
    </w:p>
    <w:p>
      <w:pPr>
        <w:pStyle w:val="BodyText"/>
        <w:rPr>
          <w:sz w:val="24"/>
        </w:rPr>
      </w:pPr>
    </w:p>
    <w:p>
      <w:pPr>
        <w:pStyle w:val="BodyText"/>
        <w:spacing w:line="276" w:lineRule="auto"/>
        <w:ind w:left="102" w:right="112" w:firstLine="707"/>
        <w:jc w:val="both"/>
      </w:pPr>
      <w:r>
        <w:rPr/>
        <w:t>El Objetivo perseguido es el establecimiento y regulación de un órgano complementario,</w:t>
      </w:r>
      <w:r>
        <w:rPr>
          <w:spacing w:val="-6"/>
        </w:rPr>
        <w:t> </w:t>
      </w:r>
      <w:r>
        <w:rPr/>
        <w:t>de</w:t>
      </w:r>
      <w:r>
        <w:rPr>
          <w:spacing w:val="-7"/>
        </w:rPr>
        <w:t> </w:t>
      </w:r>
      <w:r>
        <w:rPr/>
        <w:t>conformidad</w:t>
      </w:r>
      <w:r>
        <w:rPr>
          <w:spacing w:val="-6"/>
        </w:rPr>
        <w:t> </w:t>
      </w:r>
      <w:r>
        <w:rPr/>
        <w:t>con</w:t>
      </w:r>
      <w:r>
        <w:rPr>
          <w:spacing w:val="-7"/>
        </w:rPr>
        <w:t> </w:t>
      </w:r>
      <w:r>
        <w:rPr/>
        <w:t>lo</w:t>
      </w:r>
      <w:r>
        <w:rPr>
          <w:spacing w:val="-5"/>
        </w:rPr>
        <w:t> </w:t>
      </w:r>
      <w:r>
        <w:rPr/>
        <w:t>previsto</w:t>
      </w:r>
      <w:r>
        <w:rPr>
          <w:spacing w:val="-6"/>
        </w:rPr>
        <w:t> </w:t>
      </w:r>
      <w:r>
        <w:rPr/>
        <w:t>en</w:t>
      </w:r>
      <w:r>
        <w:rPr>
          <w:spacing w:val="-4"/>
        </w:rPr>
        <w:t> </w:t>
      </w:r>
      <w:r>
        <w:rPr/>
        <w:t>el</w:t>
      </w:r>
      <w:r>
        <w:rPr>
          <w:spacing w:val="-5"/>
        </w:rPr>
        <w:t> </w:t>
      </w:r>
      <w:r>
        <w:rPr/>
        <w:t>artículo</w:t>
      </w:r>
      <w:r>
        <w:rPr>
          <w:spacing w:val="-5"/>
        </w:rPr>
        <w:t> </w:t>
      </w:r>
      <w:r>
        <w:rPr/>
        <w:t>20.3</w:t>
      </w:r>
      <w:r>
        <w:rPr>
          <w:spacing w:val="-7"/>
        </w:rPr>
        <w:t> </w:t>
      </w:r>
      <w:r>
        <w:rPr/>
        <w:t>de</w:t>
      </w:r>
      <w:r>
        <w:rPr>
          <w:spacing w:val="-7"/>
        </w:rPr>
        <w:t> </w:t>
      </w:r>
      <w:r>
        <w:rPr/>
        <w:t>la</w:t>
      </w:r>
      <w:r>
        <w:rPr>
          <w:spacing w:val="-4"/>
        </w:rPr>
        <w:t> </w:t>
      </w:r>
      <w:r>
        <w:rPr/>
        <w:t>Ley</w:t>
      </w:r>
      <w:r>
        <w:rPr>
          <w:spacing w:val="-4"/>
        </w:rPr>
        <w:t> </w:t>
      </w:r>
      <w:r>
        <w:rPr/>
        <w:t>7/1985,</w:t>
      </w:r>
      <w:r>
        <w:rPr>
          <w:spacing w:val="-6"/>
        </w:rPr>
        <w:t> </w:t>
      </w:r>
      <w:r>
        <w:rPr/>
        <w:t>de 2 de abril, Reguladora de las Bases de Régimen</w:t>
      </w:r>
      <w:r>
        <w:rPr>
          <w:spacing w:val="-7"/>
        </w:rPr>
        <w:t> </w:t>
      </w:r>
      <w:r>
        <w:rPr/>
        <w:t>Local.</w:t>
      </w:r>
    </w:p>
    <w:p>
      <w:pPr>
        <w:pStyle w:val="BodyText"/>
        <w:spacing w:before="10"/>
        <w:rPr>
          <w:sz w:val="20"/>
        </w:rPr>
      </w:pPr>
    </w:p>
    <w:p>
      <w:pPr>
        <w:pStyle w:val="Heading1"/>
      </w:pPr>
      <w:r>
        <w:rPr/>
        <w:t>IV.-Posibles soluciones alternativas, regulatorias y no regulatorias.</w:t>
      </w:r>
    </w:p>
    <w:p>
      <w:pPr>
        <w:pStyle w:val="BodyText"/>
        <w:spacing w:before="2"/>
        <w:rPr>
          <w:b/>
          <w:sz w:val="24"/>
        </w:rPr>
      </w:pPr>
    </w:p>
    <w:p>
      <w:pPr>
        <w:pStyle w:val="BodyText"/>
        <w:spacing w:line="276" w:lineRule="auto" w:before="0"/>
        <w:ind w:left="102" w:right="118" w:firstLine="707"/>
        <w:jc w:val="both"/>
      </w:pPr>
      <w:r>
        <w:rPr/>
        <w:t>La regulación contenida es la imprescindible para atender la necesidad a cubrir mediante las previsiones normativas que permiten el desarrollo de la potestad de autoorganización a través del presente Reglamento Orgánico.</w:t>
      </w:r>
    </w:p>
    <w:sectPr>
      <w:type w:val="continuous"/>
      <w:pgSz w:w="11910" w:h="16840"/>
      <w:pgMar w:top="1560" w:bottom="280" w:left="160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1"/>
    </w:pPr>
    <w:rPr>
      <w:rFonts w:ascii="Arial" w:hAnsi="Arial" w:eastAsia="Arial" w:cs="Arial"/>
      <w:sz w:val="22"/>
      <w:szCs w:val="22"/>
      <w:lang w:val="es-ES" w:eastAsia="es-ES" w:bidi="es-ES"/>
    </w:rPr>
  </w:style>
  <w:style w:styleId="Heading1" w:type="paragraph">
    <w:name w:val="Heading 1"/>
    <w:basedOn w:val="Normal"/>
    <w:uiPriority w:val="1"/>
    <w:qFormat/>
    <w:pPr>
      <w:ind w:left="810"/>
      <w:outlineLvl w:val="1"/>
    </w:pPr>
    <w:rPr>
      <w:rFonts w:ascii="Arial" w:hAnsi="Arial" w:eastAsia="Arial" w:cs="Arial"/>
      <w:b/>
      <w:bCs/>
      <w:sz w:val="22"/>
      <w:szCs w:val="22"/>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Martín Riudavets</dc:creator>
  <dcterms:created xsi:type="dcterms:W3CDTF">2025-06-25T07:17:46Z</dcterms:created>
  <dcterms:modified xsi:type="dcterms:W3CDTF">2025-06-25T07:17:46Z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para Microsoft 365</vt:lpwstr>
  </property>
  <property fmtid="{D5CDD505-2E9C-101B-9397-08002B2CF9AE}" pid="4" name="LastSaved">
    <vt:filetime>2025-06-25T00:00:00Z</vt:filetime>
  </property>
</Properties>
</file>