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0" w:right="18" w:firstLine="0"/>
        <w:jc w:val="center"/>
        <w:rPr>
          <w:b/>
          <w:sz w:val="20"/>
        </w:rPr>
      </w:pPr>
      <w:r>
        <w:rPr>
          <w:rFonts w:ascii="Times New Roman" w:hAnsi="Times New Roman"/>
          <w:w w:val="99"/>
          <w:sz w:val="20"/>
          <w:u w:val="thick"/>
        </w:rPr>
        <w:t> </w:t>
      </w:r>
      <w:r>
        <w:rPr>
          <w:b/>
          <w:sz w:val="20"/>
          <w:u w:val="thick"/>
        </w:rPr>
        <w:t>CONSULTA PÚBLICA PREVIA</w:t>
      </w:r>
    </w:p>
    <w:p>
      <w:pPr>
        <w:pStyle w:val="BodyText"/>
        <w:rPr>
          <w:b/>
          <w:sz w:val="12"/>
        </w:rPr>
      </w:pPr>
    </w:p>
    <w:p>
      <w:pPr>
        <w:spacing w:before="93"/>
        <w:ind w:left="102" w:right="113" w:firstLine="0"/>
        <w:jc w:val="both"/>
        <w:rPr>
          <w:b/>
          <w:sz w:val="20"/>
        </w:rPr>
      </w:pPr>
      <w:r>
        <w:rPr>
          <w:sz w:val="20"/>
        </w:rPr>
        <w:t>En el marco de lo dispuesto en el artículo 133 de la Ley 39/2015, de 1 de octubre, del Procedimiento Administrativo Común de las Administraciones Públicas, la Alcaldía del Ayuntamiento de Tías practica esta consulta pública previa para la participación de los ciudadanos</w:t>
      </w:r>
      <w:r>
        <w:rPr>
          <w:spacing w:val="-17"/>
          <w:sz w:val="20"/>
        </w:rPr>
        <w:t> </w:t>
      </w:r>
      <w:r>
        <w:rPr>
          <w:sz w:val="20"/>
        </w:rPr>
        <w:t>en</w:t>
      </w:r>
      <w:r>
        <w:rPr>
          <w:spacing w:val="-15"/>
          <w:sz w:val="20"/>
        </w:rPr>
        <w:t> </w:t>
      </w:r>
      <w:r>
        <w:rPr>
          <w:sz w:val="20"/>
        </w:rPr>
        <w:t>el</w:t>
      </w:r>
      <w:r>
        <w:rPr>
          <w:spacing w:val="-16"/>
          <w:sz w:val="20"/>
        </w:rPr>
        <w:t> </w:t>
      </w:r>
      <w:r>
        <w:rPr>
          <w:sz w:val="20"/>
        </w:rPr>
        <w:t>procedimiento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aprobación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la</w:t>
      </w:r>
      <w:r>
        <w:rPr>
          <w:spacing w:val="-17"/>
          <w:sz w:val="20"/>
        </w:rPr>
        <w:t> </w:t>
      </w:r>
      <w:r>
        <w:rPr>
          <w:b/>
          <w:sz w:val="20"/>
        </w:rPr>
        <w:t>“LA</w:t>
      </w:r>
      <w:r>
        <w:rPr>
          <w:b/>
          <w:spacing w:val="-24"/>
          <w:sz w:val="20"/>
        </w:rPr>
        <w:t> </w:t>
      </w:r>
      <w:r>
        <w:rPr>
          <w:b/>
          <w:sz w:val="20"/>
        </w:rPr>
        <w:t>ORDENANZA</w:t>
      </w:r>
      <w:r>
        <w:rPr>
          <w:b/>
          <w:spacing w:val="-23"/>
          <w:sz w:val="20"/>
        </w:rPr>
        <w:t> </w:t>
      </w:r>
      <w:r>
        <w:rPr>
          <w:b/>
          <w:sz w:val="20"/>
        </w:rPr>
        <w:t>FISCAL</w:t>
      </w:r>
      <w:r>
        <w:rPr>
          <w:b/>
          <w:spacing w:val="-18"/>
          <w:sz w:val="20"/>
        </w:rPr>
        <w:t> </w:t>
      </w:r>
      <w:r>
        <w:rPr>
          <w:b/>
          <w:sz w:val="20"/>
        </w:rPr>
        <w:t>REGULADORA DE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6"/>
          <w:sz w:val="20"/>
        </w:rPr>
        <w:t> </w:t>
      </w:r>
      <w:r>
        <w:rPr>
          <w:b/>
          <w:spacing w:val="-4"/>
          <w:sz w:val="20"/>
        </w:rPr>
        <w:t>TASA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POR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PRESTACIÓN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1"/>
          <w:sz w:val="20"/>
        </w:rPr>
        <w:t> </w:t>
      </w:r>
      <w:r>
        <w:rPr>
          <w:b/>
          <w:sz w:val="20"/>
        </w:rPr>
        <w:t>SERVICIOS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RECOGIDA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RESIDUOS</w:t>
      </w:r>
      <w:r>
        <w:rPr>
          <w:b/>
          <w:spacing w:val="11"/>
          <w:sz w:val="20"/>
        </w:rPr>
        <w:t> </w:t>
      </w:r>
      <w:r>
        <w:rPr>
          <w:b/>
          <w:sz w:val="20"/>
        </w:rPr>
        <w:t>SÓLIDOS</w:t>
      </w:r>
    </w:p>
    <w:p>
      <w:pPr>
        <w:pStyle w:val="BodyText"/>
        <w:spacing w:line="230" w:lineRule="exact"/>
        <w:ind w:left="102"/>
        <w:jc w:val="both"/>
      </w:pPr>
      <w:r>
        <w:rPr>
          <w:b/>
        </w:rPr>
        <w:t>URBANOS</w:t>
      </w:r>
      <w:r>
        <w:rPr>
          <w:b/>
          <w:i/>
        </w:rPr>
        <w:t>” </w:t>
      </w:r>
      <w:r>
        <w:rPr/>
        <w:t>con arreglo a los siguientes aspectos: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269" w:val="left" w:leader="none"/>
        </w:tabs>
        <w:spacing w:line="240" w:lineRule="auto" w:before="0" w:after="0"/>
        <w:ind w:left="268" w:right="0" w:hanging="167"/>
        <w:jc w:val="left"/>
      </w:pPr>
      <w:r>
        <w:rPr/>
        <w:t>Problemas que se pretenden solucionar con la</w:t>
      </w:r>
      <w:r>
        <w:rPr>
          <w:spacing w:val="-6"/>
        </w:rPr>
        <w:t> </w:t>
      </w:r>
      <w:r>
        <w:rPr/>
        <w:t>iniciativa.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102"/>
        <w:jc w:val="both"/>
      </w:pPr>
      <w:r>
        <w:rPr/>
        <w:t>Con esta iniciativa se pretende dar cobertura a la siguiente problemática:</w:t>
      </w:r>
    </w:p>
    <w:p>
      <w:pPr>
        <w:pStyle w:val="ListParagraph"/>
        <w:numPr>
          <w:ilvl w:val="0"/>
          <w:numId w:val="2"/>
        </w:numPr>
        <w:tabs>
          <w:tab w:pos="249" w:val="left" w:leader="none"/>
        </w:tabs>
        <w:spacing w:line="240" w:lineRule="auto" w:before="0" w:after="0"/>
        <w:ind w:left="102" w:right="127" w:firstLine="0"/>
        <w:jc w:val="both"/>
        <w:rPr>
          <w:sz w:val="20"/>
        </w:rPr>
      </w:pPr>
      <w:r>
        <w:rPr>
          <w:sz w:val="20"/>
        </w:rPr>
        <w:t>Inadecuada correspondencia entre la vigente Ordenanza municipal, la normativa actual y la realidad.</w:t>
      </w:r>
    </w:p>
    <w:p>
      <w:pPr>
        <w:pStyle w:val="ListParagraph"/>
        <w:numPr>
          <w:ilvl w:val="0"/>
          <w:numId w:val="2"/>
        </w:numPr>
        <w:tabs>
          <w:tab w:pos="244" w:val="left" w:leader="none"/>
        </w:tabs>
        <w:spacing w:line="240" w:lineRule="auto" w:before="1" w:after="0"/>
        <w:ind w:left="102" w:right="121" w:firstLine="0"/>
        <w:jc w:val="both"/>
        <w:rPr>
          <w:sz w:val="20"/>
        </w:rPr>
      </w:pPr>
      <w:r>
        <w:rPr>
          <w:sz w:val="20"/>
        </w:rPr>
        <w:t>La necesidad de proceder a una nueva valoración de los costes de la recogida de residuos sólidos urbanos, para que con dicha modificación se contemplen en adelante todos los costes definidos en el art. </w:t>
      </w:r>
      <w:r>
        <w:rPr>
          <w:spacing w:val="-8"/>
          <w:sz w:val="20"/>
        </w:rPr>
        <w:t>11 </w:t>
      </w:r>
      <w:r>
        <w:rPr>
          <w:sz w:val="20"/>
        </w:rPr>
        <w:t>de la Ley de residuos y suelos contaminados </w:t>
      </w:r>
      <w:r>
        <w:rPr>
          <w:spacing w:val="-3"/>
          <w:sz w:val="20"/>
        </w:rPr>
        <w:t>22/2011, </w:t>
      </w:r>
      <w:r>
        <w:rPr>
          <w:sz w:val="20"/>
        </w:rPr>
        <w:t>que conlleva la prestación de un servicio más amplio, integral, eficiente y</w:t>
      </w:r>
      <w:r>
        <w:rPr>
          <w:spacing w:val="-10"/>
          <w:sz w:val="20"/>
        </w:rPr>
        <w:t> </w:t>
      </w:r>
      <w:r>
        <w:rPr>
          <w:sz w:val="20"/>
        </w:rPr>
        <w:t>sostenible.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24" w:val="left" w:leader="none"/>
        </w:tabs>
        <w:spacing w:line="240" w:lineRule="auto" w:before="0" w:after="0"/>
        <w:ind w:left="323" w:right="0" w:hanging="222"/>
        <w:jc w:val="left"/>
      </w:pPr>
      <w:r>
        <w:rPr/>
        <w:t>Necesidad y oportunidad de su</w:t>
      </w:r>
      <w:r>
        <w:rPr>
          <w:spacing w:val="-4"/>
        </w:rPr>
        <w:t> </w:t>
      </w:r>
      <w:r>
        <w:rPr/>
        <w:t>aprobación.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02" w:right="118"/>
        <w:jc w:val="both"/>
      </w:pPr>
      <w:r>
        <w:rPr/>
        <w:t>La aprobación de una nueva Ordenanza fiscal obedece al objetivo de establecer una tasa específica, diferenciada y no deficitaria, que permita implantar sistemas de pago por generación y que refleje el coste real, directo o indirecto, de las operaciones de recogida, transporte y tratamiento de los residuos.</w:t>
      </w:r>
    </w:p>
    <w:p>
      <w:pPr>
        <w:pStyle w:val="BodyText"/>
      </w:pPr>
    </w:p>
    <w:p>
      <w:pPr>
        <w:pStyle w:val="BodyText"/>
        <w:ind w:left="102" w:right="117"/>
        <w:jc w:val="both"/>
      </w:pPr>
      <w:r>
        <w:rPr/>
        <w:t>La</w:t>
      </w:r>
      <w:r>
        <w:rPr>
          <w:spacing w:val="-7"/>
        </w:rPr>
        <w:t> </w:t>
      </w:r>
      <w:r>
        <w:rPr/>
        <w:t>normativa</w:t>
      </w:r>
      <w:r>
        <w:rPr>
          <w:spacing w:val="-7"/>
        </w:rPr>
        <w:t> </w:t>
      </w:r>
      <w:r>
        <w:rPr/>
        <w:t>comunitaria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materia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gestión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residuos,</w:t>
      </w:r>
      <w:r>
        <w:rPr>
          <w:spacing w:val="-1"/>
        </w:rPr>
        <w:t> </w:t>
      </w:r>
      <w:r>
        <w:rPr/>
        <w:t>esto</w:t>
      </w:r>
      <w:r>
        <w:rPr>
          <w:spacing w:val="-7"/>
        </w:rPr>
        <w:t> </w:t>
      </w:r>
      <w:r>
        <w:rPr/>
        <w:t>es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Directiva</w:t>
      </w:r>
      <w:r>
        <w:rPr>
          <w:spacing w:val="-6"/>
        </w:rPr>
        <w:t> </w:t>
      </w:r>
      <w:r>
        <w:rPr/>
        <w:t>2008/98/CE</w:t>
      </w:r>
      <w:r>
        <w:rPr>
          <w:spacing w:val="-7"/>
        </w:rPr>
        <w:t> </w:t>
      </w:r>
      <w:r>
        <w:rPr/>
        <w:t>del Parlamento</w:t>
      </w:r>
      <w:r>
        <w:rPr>
          <w:spacing w:val="-5"/>
        </w:rPr>
        <w:t> </w:t>
      </w:r>
      <w:r>
        <w:rPr/>
        <w:t>Europeo</w:t>
      </w:r>
      <w:r>
        <w:rPr>
          <w:spacing w:val="-7"/>
        </w:rPr>
        <w:t> </w:t>
      </w:r>
      <w:r>
        <w:rPr/>
        <w:t>y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Consejo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19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noviembre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2008</w:t>
      </w:r>
      <w:r>
        <w:rPr>
          <w:spacing w:val="-7"/>
        </w:rPr>
        <w:t> </w:t>
      </w:r>
      <w:r>
        <w:rPr/>
        <w:t>(entró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3"/>
        </w:rPr>
        <w:t> </w:t>
      </w:r>
      <w:r>
        <w:rPr/>
        <w:t>12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diciembre de 2008 con plazo de transposición con final el 12 de diciembre de 2010), estableció unos objetivos ambiciosos para la reducción, reutilización y reciclaje de residuos municipales y obligó a los Estados miembros a tomar diferentes medidas, enumerando distintos instrumentos económicos, entre los que se encuentran las tasas y los sistemas de pago por generación de residuos.</w:t>
      </w:r>
    </w:p>
    <w:p>
      <w:pPr>
        <w:pStyle w:val="BodyText"/>
        <w:ind w:left="102" w:right="123"/>
        <w:jc w:val="both"/>
      </w:pPr>
      <w:r>
        <w:rPr/>
        <w:t>En</w:t>
      </w:r>
      <w:r>
        <w:rPr>
          <w:spacing w:val="-8"/>
        </w:rPr>
        <w:t> </w:t>
      </w:r>
      <w:r>
        <w:rPr/>
        <w:t>concreto,</w:t>
      </w:r>
      <w:r>
        <w:rPr>
          <w:spacing w:val="-3"/>
        </w:rPr>
        <w:t> </w:t>
      </w:r>
      <w:r>
        <w:rPr/>
        <w:t>su</w:t>
      </w:r>
      <w:r>
        <w:rPr>
          <w:spacing w:val="-7"/>
        </w:rPr>
        <w:t> </w:t>
      </w:r>
      <w:r>
        <w:rPr/>
        <w:t>Considerando</w:t>
      </w:r>
      <w:r>
        <w:rPr>
          <w:spacing w:val="-6"/>
        </w:rPr>
        <w:t> </w:t>
      </w:r>
      <w:r>
        <w:rPr/>
        <w:t>(25) establece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“Es</w:t>
      </w:r>
      <w:r>
        <w:rPr>
          <w:spacing w:val="-4"/>
        </w:rPr>
        <w:t> </w:t>
      </w:r>
      <w:r>
        <w:rPr/>
        <w:t>conveniente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costes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asignen</w:t>
      </w:r>
      <w:r>
        <w:rPr>
          <w:spacing w:val="-5"/>
        </w:rPr>
        <w:t> </w:t>
      </w:r>
      <w:r>
        <w:rPr/>
        <w:t>de tal manera que reflejen el coste real que suponen para el medio ambiente la generación y la gestión de</w:t>
      </w:r>
      <w:r>
        <w:rPr>
          <w:spacing w:val="-3"/>
        </w:rPr>
        <w:t> </w:t>
      </w:r>
      <w:r>
        <w:rPr/>
        <w:t>residuos”</w:t>
      </w:r>
    </w:p>
    <w:p>
      <w:pPr>
        <w:pStyle w:val="BodyText"/>
      </w:pPr>
    </w:p>
    <w:p>
      <w:pPr>
        <w:spacing w:before="0"/>
        <w:ind w:left="102" w:right="119" w:firstLine="0"/>
        <w:jc w:val="left"/>
        <w:rPr>
          <w:sz w:val="20"/>
        </w:rPr>
      </w:pP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normativa</w:t>
      </w:r>
      <w:r>
        <w:rPr>
          <w:spacing w:val="-10"/>
          <w:sz w:val="20"/>
        </w:rPr>
        <w:t> </w:t>
      </w:r>
      <w:r>
        <w:rPr>
          <w:sz w:val="20"/>
        </w:rPr>
        <w:t>española,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11"/>
          <w:sz w:val="20"/>
        </w:rPr>
        <w:t> </w:t>
      </w:r>
      <w:r>
        <w:rPr>
          <w:sz w:val="20"/>
        </w:rPr>
        <w:t>para</w:t>
      </w:r>
      <w:r>
        <w:rPr>
          <w:spacing w:val="-9"/>
          <w:sz w:val="20"/>
        </w:rPr>
        <w:t> </w:t>
      </w:r>
      <w:r>
        <w:rPr>
          <w:sz w:val="20"/>
        </w:rPr>
        <w:t>dar</w:t>
      </w:r>
      <w:r>
        <w:rPr>
          <w:spacing w:val="-11"/>
          <w:sz w:val="20"/>
        </w:rPr>
        <w:t> </w:t>
      </w:r>
      <w:r>
        <w:rPr>
          <w:sz w:val="20"/>
        </w:rPr>
        <w:t>cumplimiento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los</w:t>
      </w:r>
      <w:r>
        <w:rPr>
          <w:spacing w:val="-11"/>
          <w:sz w:val="20"/>
        </w:rPr>
        <w:t> </w:t>
      </w:r>
      <w:r>
        <w:rPr>
          <w:sz w:val="20"/>
        </w:rPr>
        <w:t>objetivos</w:t>
      </w:r>
      <w:r>
        <w:rPr>
          <w:spacing w:val="-11"/>
          <w:sz w:val="20"/>
        </w:rPr>
        <w:t> </w:t>
      </w:r>
      <w:r>
        <w:rPr>
          <w:sz w:val="20"/>
        </w:rPr>
        <w:t>comunitarios,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aprobó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 </w:t>
      </w:r>
      <w:r>
        <w:rPr>
          <w:spacing w:val="-3"/>
          <w:sz w:val="20"/>
        </w:rPr>
        <w:t>22/2011, </w:t>
      </w:r>
      <w:r>
        <w:rPr>
          <w:sz w:val="20"/>
        </w:rPr>
        <w:t>de 28 de julio, de residuos y suelos contaminados, norma de carácter básico, que traspuso al derecho interno la Directiva de Residuos de 2008, fijando en su artículo </w:t>
      </w:r>
      <w:r>
        <w:rPr>
          <w:spacing w:val="-4"/>
          <w:sz w:val="20"/>
        </w:rPr>
        <w:t>11.3 </w:t>
      </w:r>
      <w:r>
        <w:rPr>
          <w:sz w:val="20"/>
        </w:rPr>
        <w:t>que “</w:t>
      </w:r>
      <w:r>
        <w:rPr>
          <w:i/>
          <w:sz w:val="20"/>
        </w:rPr>
        <w:t>En el caso de los costes de gestión de los residuos de competencia local, de acuerdo con lo </w:t>
      </w:r>
      <w:r>
        <w:rPr>
          <w:i/>
          <w:sz w:val="20"/>
        </w:rPr>
        <w:t>dispuesto en el texto refundido de la Ley reguladora de las Haciendas Locales, aprobado por Real Decreto Legislativo 2/2004, de 5 de marzo, las entidades locales establecerán, en el plazo de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tres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años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contar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desde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entrada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vigor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esta</w:t>
      </w:r>
      <w:r>
        <w:rPr>
          <w:i/>
          <w:spacing w:val="-15"/>
          <w:sz w:val="20"/>
        </w:rPr>
        <w:t> </w:t>
      </w:r>
      <w:r>
        <w:rPr>
          <w:i/>
          <w:spacing w:val="-4"/>
          <w:sz w:val="20"/>
        </w:rPr>
        <w:t>ley,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una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tasa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o,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su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caso,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una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prestación patrimonial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carácter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público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tributaria,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específica,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diferenciada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deficitaria,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permita implantar sistemas de pago por generación y que refleje el coste real, directo o indirecto, de las operaciones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recogida,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transporte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tratamiento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residuos,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incluidos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vigilancia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estas operaciones y el mantenimiento y vigilancia posterior al cierre de los vertederos, las campañas de concienciación y comunicación, así como los ingresos derivados de la aplicación de la responsabilidad ampliada del productor, de la venta de materiales y de</w:t>
      </w:r>
      <w:r>
        <w:rPr>
          <w:i/>
          <w:spacing w:val="-20"/>
          <w:sz w:val="20"/>
        </w:rPr>
        <w:t> </w:t>
      </w:r>
      <w:r>
        <w:rPr>
          <w:i/>
          <w:sz w:val="20"/>
        </w:rPr>
        <w:t>energía</w:t>
      </w:r>
      <w:r>
        <w:rPr>
          <w:sz w:val="20"/>
        </w:rPr>
        <w:t>”.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 w:right="121"/>
        <w:jc w:val="both"/>
      </w:pPr>
      <w:r>
        <w:rPr/>
        <w:t>Dado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modificación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4"/>
        </w:rPr>
        <w:t> </w:t>
      </w:r>
      <w:r>
        <w:rPr/>
        <w:t>pretende</w:t>
      </w:r>
      <w:r>
        <w:rPr>
          <w:spacing w:val="-3"/>
        </w:rPr>
        <w:t> </w:t>
      </w:r>
      <w:r>
        <w:rPr/>
        <w:t>acometer</w:t>
      </w:r>
      <w:r>
        <w:rPr>
          <w:spacing w:val="-6"/>
        </w:rPr>
        <w:t> </w:t>
      </w:r>
      <w:r>
        <w:rPr/>
        <w:t>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gran</w:t>
      </w:r>
      <w:r>
        <w:rPr>
          <w:spacing w:val="-7"/>
        </w:rPr>
        <w:t> </w:t>
      </w:r>
      <w:r>
        <w:rPr/>
        <w:t>calado,</w:t>
      </w:r>
      <w:r>
        <w:rPr>
          <w:spacing w:val="-6"/>
        </w:rPr>
        <w:t> </w:t>
      </w:r>
      <w:r>
        <w:rPr/>
        <w:t>ya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afectaría</w:t>
      </w:r>
      <w:r>
        <w:rPr>
          <w:spacing w:val="-6"/>
        </w:rPr>
        <w:t> </w:t>
      </w:r>
      <w:r>
        <w:rPr/>
        <w:t>tanto</w:t>
      </w:r>
      <w:r>
        <w:rPr>
          <w:spacing w:val="-4"/>
        </w:rPr>
        <w:t> </w:t>
      </w:r>
      <w:r>
        <w:rPr/>
        <w:t>al contenido de la norma como a la propia estructura legal del texto, se aconseja acometer la aprobación “ex novo” de un nuevo texto normativo, que responda a los avances normativos, sociales, medioambientales y económicos operados a nivel europeo y</w:t>
      </w:r>
      <w:r>
        <w:rPr>
          <w:spacing w:val="-11"/>
        </w:rPr>
        <w:t> </w:t>
      </w:r>
      <w:r>
        <w:rPr/>
        <w:t>nacional.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379" w:val="left" w:leader="none"/>
        </w:tabs>
        <w:spacing w:line="240" w:lineRule="auto" w:before="0" w:after="0"/>
        <w:ind w:left="378" w:right="0" w:hanging="277"/>
        <w:jc w:val="left"/>
      </w:pPr>
      <w:r>
        <w:rPr/>
        <w:t>Los objetivos de la</w:t>
      </w:r>
      <w:r>
        <w:rPr>
          <w:spacing w:val="-1"/>
        </w:rPr>
        <w:t> </w:t>
      </w:r>
      <w:r>
        <w:rPr/>
        <w:t>norma.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02"/>
      </w:pPr>
      <w:r>
        <w:rPr/>
        <w:t>A</w:t>
      </w:r>
      <w:r>
        <w:rPr>
          <w:spacing w:val="-17"/>
        </w:rPr>
        <w:t> </w:t>
      </w:r>
      <w:r>
        <w:rPr/>
        <w:t>la</w:t>
      </w:r>
      <w:r>
        <w:rPr>
          <w:spacing w:val="-5"/>
        </w:rPr>
        <w:t> </w:t>
      </w:r>
      <w:r>
        <w:rPr/>
        <w:t>vista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problemas</w:t>
      </w:r>
      <w:r>
        <w:rPr>
          <w:spacing w:val="-3"/>
        </w:rPr>
        <w:t> </w:t>
      </w:r>
      <w:r>
        <w:rPr/>
        <w:t>planteados,</w:t>
      </w:r>
      <w:r>
        <w:rPr>
          <w:spacing w:val="-1"/>
        </w:rPr>
        <w:t> </w:t>
      </w:r>
      <w:r>
        <w:rPr/>
        <w:t>el</w:t>
      </w:r>
      <w:r>
        <w:rPr>
          <w:spacing w:val="-5"/>
        </w:rPr>
        <w:t> </w:t>
      </w:r>
      <w:r>
        <w:rPr/>
        <w:t>objetivo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7"/>
        </w:rPr>
        <w:t> </w:t>
      </w:r>
      <w:r>
        <w:rPr/>
        <w:t>persigue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esta</w:t>
      </w:r>
      <w:r>
        <w:rPr>
          <w:spacing w:val="-5"/>
        </w:rPr>
        <w:t> </w:t>
      </w:r>
      <w:r>
        <w:rPr/>
        <w:t>propuesta</w:t>
      </w:r>
      <w:r>
        <w:rPr>
          <w:spacing w:val="-2"/>
        </w:rPr>
        <w:t> </w:t>
      </w:r>
      <w:r>
        <w:rPr/>
        <w:t>es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la recogida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residuos</w:t>
      </w:r>
      <w:r>
        <w:rPr>
          <w:spacing w:val="-14"/>
        </w:rPr>
        <w:t> </w:t>
      </w:r>
      <w:r>
        <w:rPr/>
        <w:t>sea</w:t>
      </w:r>
      <w:r>
        <w:rPr>
          <w:spacing w:val="-14"/>
        </w:rPr>
        <w:t> </w:t>
      </w:r>
      <w:r>
        <w:rPr/>
        <w:t>económica</w:t>
      </w:r>
      <w:r>
        <w:rPr>
          <w:spacing w:val="-16"/>
        </w:rPr>
        <w:t> </w:t>
      </w:r>
      <w:r>
        <w:rPr/>
        <w:t>y</w:t>
      </w:r>
      <w:r>
        <w:rPr>
          <w:spacing w:val="-14"/>
        </w:rPr>
        <w:t> </w:t>
      </w:r>
      <w:r>
        <w:rPr/>
        <w:t>sosteniblemente</w:t>
      </w:r>
      <w:r>
        <w:rPr>
          <w:spacing w:val="-14"/>
        </w:rPr>
        <w:t> </w:t>
      </w:r>
      <w:r>
        <w:rPr/>
        <w:t>viable,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forma</w:t>
      </w:r>
      <w:r>
        <w:rPr>
          <w:spacing w:val="-16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cubran</w:t>
      </w:r>
      <w:r>
        <w:rPr>
          <w:spacing w:val="-16"/>
        </w:rPr>
        <w:t> </w:t>
      </w:r>
      <w:r>
        <w:rPr/>
        <w:t>los</w:t>
      </w:r>
      <w:r>
        <w:rPr>
          <w:spacing w:val="-15"/>
        </w:rPr>
        <w:t> </w:t>
      </w:r>
      <w:r>
        <w:rPr/>
        <w:t>costes</w:t>
      </w:r>
    </w:p>
    <w:p>
      <w:pPr>
        <w:spacing w:after="0"/>
        <w:sectPr>
          <w:type w:val="continuous"/>
          <w:pgSz w:w="11910" w:h="16840"/>
          <w:pgMar w:top="1320" w:bottom="280" w:left="1600" w:right="1580"/>
        </w:sectPr>
      </w:pPr>
    </w:p>
    <w:p>
      <w:pPr>
        <w:pStyle w:val="BodyText"/>
        <w:spacing w:before="77"/>
        <w:ind w:left="102" w:right="124"/>
        <w:jc w:val="both"/>
      </w:pPr>
      <w:r>
        <w:rPr/>
        <w:t>que genera el servicio y se disponga de recursos económicos que permitan abordar las nuevas obligaciones de recogida separada, se incentive el reciclado y se penalice la peor opción de la jerarquía de residuos, el vertedero.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3" w:right="0" w:hanging="282"/>
        <w:jc w:val="left"/>
      </w:pPr>
      <w:r>
        <w:rPr/>
        <w:t>Las posibles soluciones alternativas regulatorias y no</w:t>
      </w:r>
      <w:r>
        <w:rPr>
          <w:spacing w:val="-10"/>
        </w:rPr>
        <w:t> </w:t>
      </w:r>
      <w:r>
        <w:rPr/>
        <w:t>regulatorias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102" w:right="129"/>
        <w:jc w:val="both"/>
      </w:pPr>
      <w:r>
        <w:rPr/>
        <w:t>No existen cauces alternativos a la imposición de la Ordenanza, dado que la naturaleza de las tasas e impuestos hace exigible su regulación a través de Ordenanza fiscal, de acuerdo con lo dispuesto en el artículo 15 del TRLRHL.</w:t>
      </w:r>
    </w:p>
    <w:sectPr>
      <w:pgSz w:w="11910" w:h="16840"/>
      <w:pgMar w:top="132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02" w:hanging="147"/>
      </w:pPr>
      <w:rPr>
        <w:rFonts w:hint="default" w:ascii="Arial" w:hAnsi="Arial" w:eastAsia="Arial" w:cs="Arial"/>
        <w:w w:val="99"/>
        <w:sz w:val="20"/>
        <w:szCs w:val="20"/>
        <w:lang w:val="es-ES" w:eastAsia="es-ES" w:bidi="es-ES"/>
      </w:rPr>
    </w:lvl>
    <w:lvl w:ilvl="1">
      <w:start w:val="0"/>
      <w:numFmt w:val="bullet"/>
      <w:lvlText w:val="•"/>
      <w:lvlJc w:val="left"/>
      <w:pPr>
        <w:ind w:left="962" w:hanging="147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25" w:hanging="147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687" w:hanging="147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550" w:hanging="147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413" w:hanging="147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275" w:hanging="147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138" w:hanging="147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001" w:hanging="147"/>
      </w:pPr>
      <w:rPr>
        <w:rFonts w:hint="default"/>
        <w:lang w:val="es-ES" w:eastAsia="es-ES" w:bidi="es-ES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68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106" w:hanging="166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953" w:hanging="166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799" w:hanging="166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646" w:hanging="166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493" w:hanging="166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339" w:hanging="166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186" w:hanging="166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033" w:hanging="166"/>
      </w:pPr>
      <w:rPr>
        <w:rFonts w:hint="default"/>
        <w:lang w:val="es-ES" w:eastAsia="es-ES" w:bidi="es-E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hanging="282"/>
      <w:outlineLvl w:val="1"/>
    </w:pPr>
    <w:rPr>
      <w:rFonts w:ascii="Arial" w:hAnsi="Arial" w:eastAsia="Arial" w:cs="Arial"/>
      <w:b/>
      <w:bCs/>
      <w:sz w:val="20"/>
      <w:szCs w:val="20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102"/>
    </w:pPr>
    <w:rPr>
      <w:rFonts w:ascii="Arial" w:hAnsi="Arial" w:eastAsia="Arial" w:cs="Arial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Gómez Santamaría</dc:creator>
  <dcterms:created xsi:type="dcterms:W3CDTF">2025-06-25T07:17:08Z</dcterms:created>
  <dcterms:modified xsi:type="dcterms:W3CDTF">2025-06-25T07:17:08Z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2025-06-25T00:00:00Z</vt:filetime>
  </property>
</Properties>
</file>