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6"/>
        </w:rPr>
      </w:pPr>
      <w:r>
        <w:rPr/>
        <w:pict>
          <v:line style="position:absolute;mso-position-horizontal-relative:page;mso-position-vertical-relative:page;z-index:251658240"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tabs>
          <w:tab w:pos="3006" w:val="left" w:leader="none"/>
        </w:tabs>
        <w:spacing w:before="118"/>
        <w:ind w:left="747" w:right="0" w:firstLine="0"/>
        <w:jc w:val="left"/>
        <w:rPr>
          <w:b/>
          <w:sz w:val="24"/>
        </w:rPr>
      </w:pPr>
      <w:r>
        <w:rPr>
          <w:rFonts w:ascii="Calibri" w:hAnsi="Calibri"/>
          <w:spacing w:val="-3"/>
          <w:position w:val="-8"/>
          <w:sz w:val="20"/>
        </w:rPr>
        <w:t>Fax </w:t>
      </w:r>
      <w:r>
        <w:rPr>
          <w:rFonts w:ascii="Calibri" w:hAnsi="Calibri"/>
          <w:position w:val="-8"/>
          <w:sz w:val="20"/>
        </w:rPr>
        <w:t>928833549</w:t>
      </w:r>
      <w:r>
        <w:rPr>
          <w:position w:val="-8"/>
          <w:sz w:val="20"/>
        </w:rPr>
        <w:tab/>
      </w:r>
      <w:r>
        <w:rPr>
          <w:b/>
          <w:sz w:val="24"/>
        </w:rPr>
        <w:t>INFORME DE</w:t>
      </w:r>
      <w:r>
        <w:rPr>
          <w:b/>
          <w:spacing w:val="-2"/>
          <w:sz w:val="24"/>
        </w:rPr>
        <w:t> </w:t>
      </w:r>
      <w:r>
        <w:rPr>
          <w:b/>
          <w:sz w:val="24"/>
        </w:rPr>
        <w:t>INTERVENCIÓN</w:t>
      </w:r>
    </w:p>
    <w:p>
      <w:pPr>
        <w:pStyle w:val="BodyText"/>
        <w:rPr>
          <w:b/>
          <w:sz w:val="40"/>
        </w:rPr>
      </w:pPr>
    </w:p>
    <w:p>
      <w:pPr>
        <w:pStyle w:val="Heading1"/>
        <w:ind w:firstLine="0"/>
        <w:jc w:val="both"/>
      </w:pPr>
      <w:r>
        <w:rPr/>
        <w:t>ASUNTO: PRESUPUESTO GENERAL PARA EL AÑO 2024</w:t>
      </w:r>
    </w:p>
    <w:p>
      <w:pPr>
        <w:pStyle w:val="BodyText"/>
        <w:spacing w:before="1"/>
        <w:rPr>
          <w:b/>
          <w:sz w:val="32"/>
        </w:rPr>
      </w:pPr>
    </w:p>
    <w:p>
      <w:pPr>
        <w:pStyle w:val="BodyText"/>
        <w:spacing w:line="242" w:lineRule="auto"/>
        <w:ind w:left="102" w:right="1697"/>
        <w:jc w:val="both"/>
      </w:pPr>
      <w:r>
        <w:rPr/>
        <w:t>La Intervención de esta Corporación, después de examinar los documentos que forman el expediente del Presupuesto General para el año </w:t>
      </w:r>
      <w:r>
        <w:rPr>
          <w:b/>
        </w:rPr>
        <w:t>2024</w:t>
      </w:r>
      <w:r>
        <w:rPr/>
        <w:t>, de conformidad con lo dispuesto en el art. 168.4 del RD Leg 2/2004, de 5 de marzo, Texto Refundido de la Ley Reguladora de las Haciendas Locales (TRLRHL), emite el siguiente informe:</w:t>
      </w:r>
    </w:p>
    <w:p>
      <w:pPr>
        <w:pStyle w:val="BodyText"/>
        <w:spacing w:before="2"/>
        <w:rPr>
          <w:sz w:val="30"/>
        </w:rPr>
      </w:pPr>
    </w:p>
    <w:p>
      <w:pPr>
        <w:pStyle w:val="Heading2"/>
        <w:ind w:left="3267"/>
      </w:pPr>
      <w:r>
        <w:rPr>
          <w:u w:val="single"/>
        </w:rPr>
        <w:t>PRIMERO.- DOCUMENTACIÓN:</w:t>
      </w:r>
    </w:p>
    <w:p>
      <w:pPr>
        <w:pStyle w:val="BodyText"/>
        <w:rPr>
          <w:b/>
        </w:rPr>
      </w:pPr>
    </w:p>
    <w:p>
      <w:pPr>
        <w:pStyle w:val="BodyText"/>
        <w:rPr>
          <w:b/>
        </w:rPr>
      </w:pPr>
    </w:p>
    <w:p>
      <w:pPr>
        <w:pStyle w:val="BodyText"/>
        <w:spacing w:before="4"/>
        <w:rPr>
          <w:b/>
        </w:rPr>
      </w:pPr>
    </w:p>
    <w:p>
      <w:pPr>
        <w:pStyle w:val="BodyText"/>
        <w:ind w:left="102" w:right="1630" w:firstLine="708"/>
      </w:pPr>
      <w:r>
        <w:rPr/>
        <w:t>1º.- El </w:t>
      </w:r>
      <w:r>
        <w:rPr>
          <w:spacing w:val="-3"/>
        </w:rPr>
        <w:t>Presupuesto General </w:t>
      </w:r>
      <w:r>
        <w:rPr/>
        <w:t>de la </w:t>
      </w:r>
      <w:r>
        <w:rPr>
          <w:spacing w:val="-3"/>
        </w:rPr>
        <w:t>Entidad constituye </w:t>
      </w:r>
      <w:r>
        <w:rPr/>
        <w:t>la </w:t>
      </w:r>
      <w:r>
        <w:rPr>
          <w:spacing w:val="-3"/>
        </w:rPr>
        <w:t>expresión cifrada, conjunta </w:t>
      </w:r>
      <w:r>
        <w:rPr/>
        <w:t>y </w:t>
      </w:r>
      <w:r>
        <w:rPr>
          <w:spacing w:val="-3"/>
        </w:rPr>
        <w:t>sistemática </w:t>
      </w:r>
      <w:r>
        <w:rPr/>
        <w:t>de </w:t>
      </w:r>
      <w:r>
        <w:rPr>
          <w:spacing w:val="-2"/>
        </w:rPr>
        <w:t>las </w:t>
      </w:r>
      <w:r>
        <w:rPr>
          <w:spacing w:val="-3"/>
        </w:rPr>
        <w:t>obligaciones que, como máximo, puede reconocer </w:t>
      </w:r>
      <w:r>
        <w:rPr/>
        <w:t>la </w:t>
      </w:r>
      <w:r>
        <w:rPr>
          <w:spacing w:val="-3"/>
        </w:rPr>
        <w:t>Entidad, </w:t>
      </w:r>
      <w:r>
        <w:rPr/>
        <w:t>y de </w:t>
      </w:r>
      <w:r>
        <w:rPr>
          <w:spacing w:val="-3"/>
        </w:rPr>
        <w:t>los derechos que prevea liquidar durante el ejercicio.</w:t>
      </w:r>
    </w:p>
    <w:p>
      <w:pPr>
        <w:pStyle w:val="BodyText"/>
        <w:spacing w:before="4"/>
      </w:pPr>
    </w:p>
    <w:p>
      <w:pPr>
        <w:pStyle w:val="BodyText"/>
        <w:ind w:left="102" w:right="1630" w:firstLine="708"/>
      </w:pPr>
      <w:r>
        <w:rPr/>
        <w:t>2º.- El Presupuesto General contiene, de conformidad con lo dispuesto en los arts. 163 y siguientes del TRLRHL:</w:t>
      </w:r>
    </w:p>
    <w:p>
      <w:pPr>
        <w:pStyle w:val="BodyText"/>
        <w:spacing w:before="3"/>
      </w:pPr>
    </w:p>
    <w:p>
      <w:pPr>
        <w:pStyle w:val="ListParagraph"/>
        <w:numPr>
          <w:ilvl w:val="0"/>
          <w:numId w:val="1"/>
        </w:numPr>
        <w:tabs>
          <w:tab w:pos="1032" w:val="left" w:leader="none"/>
        </w:tabs>
        <w:spacing w:line="240" w:lineRule="auto" w:before="0" w:after="0"/>
        <w:ind w:left="102" w:right="1706" w:firstLine="708"/>
        <w:jc w:val="both"/>
        <w:rPr>
          <w:sz w:val="20"/>
        </w:rPr>
      </w:pPr>
      <w:r>
        <w:rPr>
          <w:sz w:val="20"/>
        </w:rPr>
        <w:t>El </w:t>
      </w:r>
      <w:r>
        <w:rPr>
          <w:spacing w:val="-3"/>
          <w:sz w:val="20"/>
        </w:rPr>
        <w:t>estado </w:t>
      </w:r>
      <w:r>
        <w:rPr>
          <w:sz w:val="20"/>
        </w:rPr>
        <w:t>de </w:t>
      </w:r>
      <w:r>
        <w:rPr>
          <w:spacing w:val="-3"/>
          <w:sz w:val="20"/>
        </w:rPr>
        <w:t>gastos, </w:t>
      </w:r>
      <w:r>
        <w:rPr>
          <w:sz w:val="20"/>
        </w:rPr>
        <w:t>en </w:t>
      </w:r>
      <w:r>
        <w:rPr>
          <w:spacing w:val="-3"/>
          <w:sz w:val="20"/>
        </w:rPr>
        <w:t>el que </w:t>
      </w:r>
      <w:r>
        <w:rPr>
          <w:sz w:val="20"/>
        </w:rPr>
        <w:t>se </w:t>
      </w:r>
      <w:r>
        <w:rPr>
          <w:spacing w:val="-3"/>
          <w:sz w:val="20"/>
        </w:rPr>
        <w:t>especifican los créditos necesarios </w:t>
      </w:r>
      <w:r>
        <w:rPr>
          <w:sz w:val="20"/>
        </w:rPr>
        <w:t>para </w:t>
      </w:r>
      <w:r>
        <w:rPr>
          <w:spacing w:val="-3"/>
          <w:sz w:val="20"/>
        </w:rPr>
        <w:t>atender </w:t>
      </w:r>
      <w:r>
        <w:rPr>
          <w:sz w:val="20"/>
        </w:rPr>
        <w:t>al </w:t>
      </w:r>
      <w:r>
        <w:rPr>
          <w:spacing w:val="-3"/>
          <w:sz w:val="20"/>
        </w:rPr>
        <w:t>cumplimiento </w:t>
      </w:r>
      <w:r>
        <w:rPr>
          <w:sz w:val="20"/>
        </w:rPr>
        <w:t>de las </w:t>
      </w:r>
      <w:r>
        <w:rPr>
          <w:spacing w:val="-3"/>
          <w:sz w:val="20"/>
        </w:rPr>
        <w:t>obligaciones </w:t>
      </w:r>
      <w:r>
        <w:rPr>
          <w:sz w:val="20"/>
        </w:rPr>
        <w:t>de </w:t>
      </w:r>
      <w:r>
        <w:rPr>
          <w:spacing w:val="-3"/>
          <w:sz w:val="20"/>
        </w:rPr>
        <w:t>la</w:t>
      </w:r>
      <w:r>
        <w:rPr>
          <w:spacing w:val="-12"/>
          <w:sz w:val="20"/>
        </w:rPr>
        <w:t> </w:t>
      </w:r>
      <w:r>
        <w:rPr>
          <w:spacing w:val="-3"/>
          <w:sz w:val="20"/>
        </w:rPr>
        <w:t>Entidad.</w:t>
      </w:r>
    </w:p>
    <w:p>
      <w:pPr>
        <w:pStyle w:val="BodyText"/>
        <w:spacing w:before="2"/>
      </w:pPr>
    </w:p>
    <w:p>
      <w:pPr>
        <w:pStyle w:val="ListParagraph"/>
        <w:numPr>
          <w:ilvl w:val="0"/>
          <w:numId w:val="1"/>
        </w:numPr>
        <w:tabs>
          <w:tab w:pos="1044" w:val="left" w:leader="none"/>
        </w:tabs>
        <w:spacing w:line="242" w:lineRule="auto" w:before="0" w:after="0"/>
        <w:ind w:left="102" w:right="1701" w:firstLine="707"/>
        <w:jc w:val="both"/>
        <w:rPr>
          <w:sz w:val="20"/>
        </w:rPr>
      </w:pPr>
      <w:r>
        <w:rPr>
          <w:sz w:val="20"/>
        </w:rPr>
        <w:t>El </w:t>
      </w:r>
      <w:r>
        <w:rPr>
          <w:spacing w:val="-3"/>
          <w:sz w:val="20"/>
        </w:rPr>
        <w:t>estado </w:t>
      </w:r>
      <w:r>
        <w:rPr>
          <w:sz w:val="20"/>
        </w:rPr>
        <w:t>de </w:t>
      </w:r>
      <w:r>
        <w:rPr>
          <w:spacing w:val="-3"/>
          <w:sz w:val="20"/>
        </w:rPr>
        <w:t>ingresos, </w:t>
      </w:r>
      <w:r>
        <w:rPr>
          <w:sz w:val="20"/>
        </w:rPr>
        <w:t>en el </w:t>
      </w:r>
      <w:r>
        <w:rPr>
          <w:spacing w:val="-2"/>
          <w:sz w:val="20"/>
        </w:rPr>
        <w:t>que </w:t>
      </w:r>
      <w:r>
        <w:rPr>
          <w:spacing w:val="-3"/>
          <w:sz w:val="20"/>
        </w:rPr>
        <w:t>figuran </w:t>
      </w:r>
      <w:r>
        <w:rPr>
          <w:sz w:val="20"/>
        </w:rPr>
        <w:t>las </w:t>
      </w:r>
      <w:r>
        <w:rPr>
          <w:spacing w:val="-3"/>
          <w:sz w:val="20"/>
        </w:rPr>
        <w:t>estimaciones </w:t>
      </w:r>
      <w:r>
        <w:rPr>
          <w:sz w:val="20"/>
        </w:rPr>
        <w:t>de </w:t>
      </w:r>
      <w:r>
        <w:rPr>
          <w:spacing w:val="-3"/>
          <w:sz w:val="20"/>
        </w:rPr>
        <w:t>los distintos recursos económicos </w:t>
      </w:r>
      <w:r>
        <w:rPr>
          <w:sz w:val="20"/>
        </w:rPr>
        <w:t>a </w:t>
      </w:r>
      <w:r>
        <w:rPr>
          <w:spacing w:val="-3"/>
          <w:sz w:val="20"/>
        </w:rPr>
        <w:t>liquidar durante </w:t>
      </w:r>
      <w:r>
        <w:rPr>
          <w:sz w:val="20"/>
        </w:rPr>
        <w:t>el</w:t>
      </w:r>
      <w:r>
        <w:rPr>
          <w:spacing w:val="-9"/>
          <w:sz w:val="20"/>
        </w:rPr>
        <w:t> </w:t>
      </w:r>
      <w:r>
        <w:rPr>
          <w:spacing w:val="-3"/>
          <w:sz w:val="20"/>
        </w:rPr>
        <w:t>ejercicio.</w:t>
      </w:r>
    </w:p>
    <w:p>
      <w:pPr>
        <w:pStyle w:val="BodyText"/>
        <w:spacing w:before="10"/>
        <w:rPr>
          <w:sz w:val="19"/>
        </w:rPr>
      </w:pPr>
    </w:p>
    <w:p>
      <w:pPr>
        <w:pStyle w:val="BodyText"/>
        <w:ind w:left="102" w:right="1630" w:firstLine="707"/>
      </w:pPr>
      <w:r>
        <w:rPr>
          <w:spacing w:val="-3"/>
        </w:rPr>
        <w:t>Asimismo, </w:t>
      </w:r>
      <w:r>
        <w:rPr/>
        <w:t>el </w:t>
      </w:r>
      <w:r>
        <w:rPr>
          <w:spacing w:val="-3"/>
        </w:rPr>
        <w:t>Presupuesto General incluye las Bases </w:t>
      </w:r>
      <w:r>
        <w:rPr/>
        <w:t>de </w:t>
      </w:r>
      <w:r>
        <w:rPr>
          <w:spacing w:val="-3"/>
        </w:rPr>
        <w:t>Ejecución </w:t>
      </w:r>
      <w:r>
        <w:rPr>
          <w:spacing w:val="-2"/>
        </w:rPr>
        <w:t>del </w:t>
      </w:r>
      <w:r>
        <w:rPr>
          <w:spacing w:val="-3"/>
        </w:rPr>
        <w:t>presupuesto que contienen la adaptación </w:t>
      </w:r>
      <w:r>
        <w:rPr/>
        <w:t>de </w:t>
      </w:r>
      <w:r>
        <w:rPr>
          <w:spacing w:val="-3"/>
        </w:rPr>
        <w:t>las disposiciones generales en materia presupuestaria </w:t>
      </w:r>
      <w:r>
        <w:rPr/>
        <w:t>a la </w:t>
      </w:r>
      <w:r>
        <w:rPr>
          <w:spacing w:val="-4"/>
        </w:rPr>
        <w:t>organización </w:t>
      </w:r>
      <w:r>
        <w:rPr/>
        <w:t>y </w:t>
      </w:r>
      <w:r>
        <w:rPr>
          <w:spacing w:val="-3"/>
        </w:rPr>
        <w:t>circunstancias </w:t>
      </w:r>
      <w:r>
        <w:rPr>
          <w:spacing w:val="-2"/>
        </w:rPr>
        <w:t>del </w:t>
      </w:r>
      <w:r>
        <w:rPr>
          <w:spacing w:val="-5"/>
        </w:rPr>
        <w:t>Ayuntamiento </w:t>
      </w:r>
      <w:r>
        <w:rPr/>
        <w:t>de </w:t>
      </w:r>
      <w:r>
        <w:rPr>
          <w:spacing w:val="-3"/>
        </w:rPr>
        <w:t>Tías.</w:t>
      </w:r>
    </w:p>
    <w:p>
      <w:pPr>
        <w:pStyle w:val="BodyText"/>
        <w:spacing w:before="4"/>
      </w:pPr>
    </w:p>
    <w:p>
      <w:pPr>
        <w:pStyle w:val="BodyText"/>
        <w:ind w:left="102" w:right="1630" w:firstLine="707"/>
      </w:pPr>
      <w:r>
        <w:rPr/>
        <w:t>3º.- </w:t>
      </w:r>
      <w:r>
        <w:rPr>
          <w:spacing w:val="-3"/>
        </w:rPr>
        <w:t>Asimismo, </w:t>
      </w:r>
      <w:r>
        <w:rPr/>
        <w:t>de </w:t>
      </w:r>
      <w:r>
        <w:rPr>
          <w:spacing w:val="-3"/>
        </w:rPr>
        <w:t>conformidad </w:t>
      </w:r>
      <w:r>
        <w:rPr>
          <w:spacing w:val="-2"/>
        </w:rPr>
        <w:t>con </w:t>
      </w:r>
      <w:r>
        <w:rPr>
          <w:spacing w:val="-3"/>
        </w:rPr>
        <w:t>lo dispuesto </w:t>
      </w:r>
      <w:r>
        <w:rPr/>
        <w:t>en el </w:t>
      </w:r>
      <w:r>
        <w:rPr>
          <w:spacing w:val="-3"/>
        </w:rPr>
        <w:t>artículo </w:t>
      </w:r>
      <w:r>
        <w:rPr>
          <w:spacing w:val="-2"/>
        </w:rPr>
        <w:t>168 del </w:t>
      </w:r>
      <w:r>
        <w:rPr>
          <w:spacing w:val="-3"/>
        </w:rPr>
        <w:t>TRLRHL habrá </w:t>
      </w:r>
      <w:r>
        <w:rPr/>
        <w:t>de </w:t>
      </w:r>
      <w:r>
        <w:rPr>
          <w:spacing w:val="-3"/>
        </w:rPr>
        <w:t>unirse al presupuesto </w:t>
      </w:r>
      <w:r>
        <w:rPr/>
        <w:t>la </w:t>
      </w:r>
      <w:r>
        <w:rPr>
          <w:spacing w:val="-3"/>
        </w:rPr>
        <w:t>siguiente documentación:</w:t>
      </w:r>
    </w:p>
    <w:p>
      <w:pPr>
        <w:pStyle w:val="BodyText"/>
        <w:spacing w:before="3"/>
      </w:pPr>
    </w:p>
    <w:p>
      <w:pPr>
        <w:pStyle w:val="ListParagraph"/>
        <w:numPr>
          <w:ilvl w:val="0"/>
          <w:numId w:val="2"/>
        </w:numPr>
        <w:tabs>
          <w:tab w:pos="1080" w:val="left" w:leader="none"/>
        </w:tabs>
        <w:spacing w:line="240" w:lineRule="auto" w:before="1" w:after="0"/>
        <w:ind w:left="102" w:right="1689" w:firstLine="708"/>
        <w:jc w:val="both"/>
        <w:rPr>
          <w:sz w:val="20"/>
        </w:rPr>
      </w:pPr>
      <w:r>
        <w:rPr>
          <w:sz w:val="20"/>
        </w:rPr>
        <w:t>La </w:t>
      </w:r>
      <w:r>
        <w:rPr>
          <w:spacing w:val="-3"/>
          <w:sz w:val="20"/>
        </w:rPr>
        <w:t>memoria suscrita </w:t>
      </w:r>
      <w:r>
        <w:rPr>
          <w:spacing w:val="-2"/>
          <w:sz w:val="20"/>
        </w:rPr>
        <w:t>por </w:t>
      </w:r>
      <w:r>
        <w:rPr>
          <w:sz w:val="20"/>
        </w:rPr>
        <w:t>la </w:t>
      </w:r>
      <w:r>
        <w:rPr>
          <w:spacing w:val="-3"/>
          <w:sz w:val="20"/>
        </w:rPr>
        <w:t>Alcaldesa-Presidenta explicativa </w:t>
      </w:r>
      <w:r>
        <w:rPr>
          <w:sz w:val="20"/>
        </w:rPr>
        <w:t>de su </w:t>
      </w:r>
      <w:r>
        <w:rPr>
          <w:spacing w:val="-3"/>
          <w:sz w:val="20"/>
        </w:rPr>
        <w:t>contenido </w:t>
      </w:r>
      <w:r>
        <w:rPr>
          <w:sz w:val="20"/>
        </w:rPr>
        <w:t>y de las </w:t>
      </w:r>
      <w:r>
        <w:rPr>
          <w:spacing w:val="-3"/>
          <w:sz w:val="20"/>
        </w:rPr>
        <w:t>principales modificaciones </w:t>
      </w:r>
      <w:r>
        <w:rPr>
          <w:spacing w:val="-2"/>
          <w:sz w:val="20"/>
        </w:rPr>
        <w:t>que </w:t>
      </w:r>
      <w:r>
        <w:rPr>
          <w:spacing w:val="-3"/>
          <w:sz w:val="20"/>
        </w:rPr>
        <w:t>presenta en relación </w:t>
      </w:r>
      <w:r>
        <w:rPr>
          <w:sz w:val="20"/>
        </w:rPr>
        <w:t>con </w:t>
      </w:r>
      <w:r>
        <w:rPr>
          <w:spacing w:val="-3"/>
          <w:sz w:val="20"/>
        </w:rPr>
        <w:t>el</w:t>
      </w:r>
      <w:r>
        <w:rPr>
          <w:spacing w:val="-27"/>
          <w:sz w:val="20"/>
        </w:rPr>
        <w:t> </w:t>
      </w:r>
      <w:r>
        <w:rPr>
          <w:spacing w:val="-3"/>
          <w:sz w:val="20"/>
        </w:rPr>
        <w:t>vigente.</w:t>
      </w:r>
    </w:p>
    <w:p>
      <w:pPr>
        <w:pStyle w:val="BodyText"/>
        <w:spacing w:before="1"/>
      </w:pPr>
    </w:p>
    <w:p>
      <w:pPr>
        <w:pStyle w:val="ListParagraph"/>
        <w:numPr>
          <w:ilvl w:val="0"/>
          <w:numId w:val="2"/>
        </w:numPr>
        <w:tabs>
          <w:tab w:pos="1034" w:val="left" w:leader="none"/>
        </w:tabs>
        <w:spacing w:line="242" w:lineRule="auto" w:before="0" w:after="0"/>
        <w:ind w:left="102" w:right="1697" w:firstLine="708"/>
        <w:jc w:val="both"/>
        <w:rPr>
          <w:sz w:val="20"/>
        </w:rPr>
      </w:pPr>
      <w:r>
        <w:rPr>
          <w:sz w:val="20"/>
        </w:rPr>
        <w:t>La </w:t>
      </w:r>
      <w:r>
        <w:rPr>
          <w:spacing w:val="-3"/>
          <w:sz w:val="20"/>
        </w:rPr>
        <w:t>liquidación </w:t>
      </w:r>
      <w:r>
        <w:rPr>
          <w:spacing w:val="-2"/>
          <w:sz w:val="20"/>
        </w:rPr>
        <w:t>del </w:t>
      </w:r>
      <w:r>
        <w:rPr>
          <w:spacing w:val="-3"/>
          <w:sz w:val="20"/>
        </w:rPr>
        <w:t>presupuesto </w:t>
      </w:r>
      <w:r>
        <w:rPr>
          <w:spacing w:val="-2"/>
          <w:sz w:val="20"/>
        </w:rPr>
        <w:t>del </w:t>
      </w:r>
      <w:r>
        <w:rPr>
          <w:spacing w:val="-3"/>
          <w:sz w:val="20"/>
        </w:rPr>
        <w:t>ejercicio anterior </w:t>
      </w:r>
      <w:r>
        <w:rPr>
          <w:sz w:val="20"/>
        </w:rPr>
        <w:t>y </w:t>
      </w:r>
      <w:r>
        <w:rPr>
          <w:spacing w:val="-3"/>
          <w:sz w:val="20"/>
        </w:rPr>
        <w:t>avance </w:t>
      </w:r>
      <w:r>
        <w:rPr>
          <w:sz w:val="20"/>
        </w:rPr>
        <w:t>de la </w:t>
      </w:r>
      <w:r>
        <w:rPr>
          <w:spacing w:val="-2"/>
          <w:sz w:val="20"/>
        </w:rPr>
        <w:t>del </w:t>
      </w:r>
      <w:r>
        <w:rPr>
          <w:spacing w:val="-3"/>
          <w:sz w:val="20"/>
        </w:rPr>
        <w:t>corriente referida, </w:t>
      </w:r>
      <w:r>
        <w:rPr>
          <w:sz w:val="20"/>
        </w:rPr>
        <w:t>al </w:t>
      </w:r>
      <w:r>
        <w:rPr>
          <w:spacing w:val="-3"/>
          <w:sz w:val="20"/>
        </w:rPr>
        <w:t>menos, </w:t>
      </w:r>
      <w:r>
        <w:rPr>
          <w:sz w:val="20"/>
        </w:rPr>
        <w:t>a </w:t>
      </w:r>
      <w:r>
        <w:rPr>
          <w:spacing w:val="-3"/>
          <w:sz w:val="20"/>
        </w:rPr>
        <w:t>seis meses </w:t>
      </w:r>
      <w:r>
        <w:rPr>
          <w:spacing w:val="-2"/>
          <w:sz w:val="20"/>
        </w:rPr>
        <w:t>del</w:t>
      </w:r>
      <w:r>
        <w:rPr>
          <w:spacing w:val="-9"/>
          <w:sz w:val="20"/>
        </w:rPr>
        <w:t> </w:t>
      </w:r>
      <w:r>
        <w:rPr>
          <w:spacing w:val="-3"/>
          <w:sz w:val="20"/>
        </w:rPr>
        <w:t>mismo.</w:t>
      </w:r>
    </w:p>
    <w:p>
      <w:pPr>
        <w:pStyle w:val="BodyText"/>
        <w:spacing w:before="10"/>
        <w:rPr>
          <w:sz w:val="19"/>
        </w:rPr>
      </w:pPr>
    </w:p>
    <w:p>
      <w:pPr>
        <w:pStyle w:val="ListParagraph"/>
        <w:numPr>
          <w:ilvl w:val="0"/>
          <w:numId w:val="2"/>
        </w:numPr>
        <w:tabs>
          <w:tab w:pos="1008" w:val="left" w:leader="none"/>
        </w:tabs>
        <w:spacing w:line="240" w:lineRule="auto" w:before="0" w:after="0"/>
        <w:ind w:left="1007" w:right="0" w:hanging="198"/>
        <w:jc w:val="left"/>
        <w:rPr>
          <w:sz w:val="20"/>
        </w:rPr>
      </w:pPr>
      <w:r>
        <w:rPr>
          <w:sz w:val="20"/>
        </w:rPr>
        <w:t>El </w:t>
      </w:r>
      <w:r>
        <w:rPr>
          <w:spacing w:val="-3"/>
          <w:sz w:val="20"/>
        </w:rPr>
        <w:t>anexo </w:t>
      </w:r>
      <w:r>
        <w:rPr>
          <w:sz w:val="20"/>
        </w:rPr>
        <w:t>de </w:t>
      </w:r>
      <w:r>
        <w:rPr>
          <w:spacing w:val="-3"/>
          <w:sz w:val="20"/>
        </w:rPr>
        <w:t>personal </w:t>
      </w:r>
      <w:r>
        <w:rPr>
          <w:sz w:val="20"/>
        </w:rPr>
        <w:t>de la</w:t>
      </w:r>
      <w:r>
        <w:rPr>
          <w:spacing w:val="-36"/>
          <w:sz w:val="20"/>
        </w:rPr>
        <w:t> </w:t>
      </w:r>
      <w:r>
        <w:rPr>
          <w:spacing w:val="-3"/>
          <w:sz w:val="20"/>
        </w:rPr>
        <w:t>Entidad Local.</w:t>
      </w:r>
    </w:p>
    <w:p>
      <w:pPr>
        <w:pStyle w:val="BodyText"/>
        <w:spacing w:before="3"/>
      </w:pPr>
    </w:p>
    <w:p>
      <w:pPr>
        <w:pStyle w:val="ListParagraph"/>
        <w:numPr>
          <w:ilvl w:val="0"/>
          <w:numId w:val="2"/>
        </w:numPr>
        <w:tabs>
          <w:tab w:pos="1020" w:val="left" w:leader="none"/>
        </w:tabs>
        <w:spacing w:line="240" w:lineRule="auto" w:before="1" w:after="0"/>
        <w:ind w:left="1019" w:right="0" w:hanging="210"/>
        <w:jc w:val="left"/>
        <w:rPr>
          <w:sz w:val="20"/>
        </w:rPr>
      </w:pPr>
      <w:r>
        <w:rPr>
          <w:sz w:val="20"/>
        </w:rPr>
        <w:t>El</w:t>
      </w:r>
      <w:r>
        <w:rPr>
          <w:spacing w:val="-8"/>
          <w:sz w:val="20"/>
        </w:rPr>
        <w:t> </w:t>
      </w:r>
      <w:r>
        <w:rPr>
          <w:sz w:val="20"/>
        </w:rPr>
        <w:t>anexo</w:t>
      </w:r>
      <w:r>
        <w:rPr>
          <w:spacing w:val="-6"/>
          <w:sz w:val="20"/>
        </w:rPr>
        <w:t> </w:t>
      </w:r>
      <w:r>
        <w:rPr>
          <w:sz w:val="20"/>
        </w:rPr>
        <w:t>de</w:t>
      </w:r>
      <w:r>
        <w:rPr>
          <w:spacing w:val="-4"/>
          <w:sz w:val="20"/>
        </w:rPr>
        <w:t> </w:t>
      </w:r>
      <w:r>
        <w:rPr>
          <w:spacing w:val="-3"/>
          <w:sz w:val="20"/>
        </w:rPr>
        <w:t>las</w:t>
      </w:r>
      <w:r>
        <w:rPr>
          <w:spacing w:val="-6"/>
          <w:sz w:val="20"/>
        </w:rPr>
        <w:t> </w:t>
      </w:r>
      <w:r>
        <w:rPr>
          <w:spacing w:val="-3"/>
          <w:sz w:val="20"/>
        </w:rPr>
        <w:t>inversiones</w:t>
      </w:r>
      <w:r>
        <w:rPr>
          <w:spacing w:val="-6"/>
          <w:sz w:val="20"/>
        </w:rPr>
        <w:t> </w:t>
      </w:r>
      <w:r>
        <w:rPr>
          <w:sz w:val="20"/>
        </w:rPr>
        <w:t>a</w:t>
      </w:r>
      <w:r>
        <w:rPr>
          <w:spacing w:val="-8"/>
          <w:sz w:val="20"/>
        </w:rPr>
        <w:t> </w:t>
      </w:r>
      <w:r>
        <w:rPr>
          <w:spacing w:val="-3"/>
          <w:sz w:val="20"/>
        </w:rPr>
        <w:t>realizar</w:t>
      </w:r>
      <w:r>
        <w:rPr>
          <w:spacing w:val="-4"/>
          <w:sz w:val="20"/>
        </w:rPr>
        <w:t> </w:t>
      </w:r>
      <w:r>
        <w:rPr>
          <w:spacing w:val="-3"/>
          <w:sz w:val="20"/>
        </w:rPr>
        <w:t>en</w:t>
      </w:r>
      <w:r>
        <w:rPr>
          <w:spacing w:val="-6"/>
          <w:sz w:val="20"/>
        </w:rPr>
        <w:t> </w:t>
      </w:r>
      <w:r>
        <w:rPr>
          <w:sz w:val="20"/>
        </w:rPr>
        <w:t>el</w:t>
      </w:r>
      <w:r>
        <w:rPr>
          <w:spacing w:val="-7"/>
          <w:sz w:val="20"/>
        </w:rPr>
        <w:t> </w:t>
      </w:r>
      <w:r>
        <w:rPr>
          <w:spacing w:val="-3"/>
          <w:sz w:val="20"/>
        </w:rPr>
        <w:t>ejercicio.</w:t>
      </w:r>
    </w:p>
    <w:p>
      <w:pPr>
        <w:pStyle w:val="BodyText"/>
      </w:pPr>
    </w:p>
    <w:p>
      <w:pPr>
        <w:pStyle w:val="ListParagraph"/>
        <w:numPr>
          <w:ilvl w:val="0"/>
          <w:numId w:val="2"/>
        </w:numPr>
        <w:tabs>
          <w:tab w:pos="1039" w:val="left" w:leader="none"/>
        </w:tabs>
        <w:spacing w:line="242" w:lineRule="auto" w:before="1" w:after="0"/>
        <w:ind w:left="102" w:right="1694" w:firstLine="708"/>
        <w:jc w:val="both"/>
        <w:rPr>
          <w:sz w:val="20"/>
        </w:rPr>
      </w:pPr>
      <w:r>
        <w:rPr>
          <w:sz w:val="20"/>
        </w:rPr>
        <w:t>Un </w:t>
      </w:r>
      <w:r>
        <w:rPr>
          <w:spacing w:val="-3"/>
          <w:sz w:val="20"/>
        </w:rPr>
        <w:t>informe económico-financiero, </w:t>
      </w:r>
      <w:r>
        <w:rPr>
          <w:sz w:val="20"/>
        </w:rPr>
        <w:t>en el </w:t>
      </w:r>
      <w:r>
        <w:rPr>
          <w:spacing w:val="-2"/>
          <w:sz w:val="20"/>
        </w:rPr>
        <w:t>que </w:t>
      </w:r>
      <w:r>
        <w:rPr>
          <w:sz w:val="20"/>
        </w:rPr>
        <w:t>se </w:t>
      </w:r>
      <w:r>
        <w:rPr>
          <w:spacing w:val="-3"/>
          <w:sz w:val="20"/>
        </w:rPr>
        <w:t>expongan las bases utilizadas </w:t>
      </w:r>
      <w:r>
        <w:rPr>
          <w:sz w:val="20"/>
        </w:rPr>
        <w:t>para la </w:t>
      </w:r>
      <w:r>
        <w:rPr>
          <w:spacing w:val="-3"/>
          <w:sz w:val="20"/>
        </w:rPr>
        <w:t>evaluación </w:t>
      </w:r>
      <w:r>
        <w:rPr>
          <w:sz w:val="20"/>
        </w:rPr>
        <w:t>de </w:t>
      </w:r>
      <w:r>
        <w:rPr>
          <w:spacing w:val="-3"/>
          <w:sz w:val="20"/>
        </w:rPr>
        <w:t>los ingresos </w:t>
      </w:r>
      <w:r>
        <w:rPr>
          <w:sz w:val="20"/>
        </w:rPr>
        <w:t>y de </w:t>
      </w:r>
      <w:r>
        <w:rPr>
          <w:spacing w:val="-3"/>
          <w:sz w:val="20"/>
        </w:rPr>
        <w:t>las operaciones </w:t>
      </w:r>
      <w:r>
        <w:rPr>
          <w:sz w:val="20"/>
        </w:rPr>
        <w:t>de </w:t>
      </w:r>
      <w:r>
        <w:rPr>
          <w:spacing w:val="-3"/>
          <w:sz w:val="20"/>
        </w:rPr>
        <w:t>crédito previstas, </w:t>
      </w:r>
      <w:r>
        <w:rPr>
          <w:sz w:val="20"/>
        </w:rPr>
        <w:t>la </w:t>
      </w:r>
      <w:r>
        <w:rPr>
          <w:spacing w:val="-3"/>
          <w:sz w:val="20"/>
        </w:rPr>
        <w:t>suficiencia </w:t>
      </w:r>
      <w:r>
        <w:rPr>
          <w:sz w:val="20"/>
        </w:rPr>
        <w:t>de </w:t>
      </w:r>
      <w:r>
        <w:rPr>
          <w:spacing w:val="-3"/>
          <w:sz w:val="20"/>
        </w:rPr>
        <w:t>los créditos para atender </w:t>
      </w:r>
      <w:r>
        <w:rPr>
          <w:sz w:val="20"/>
        </w:rPr>
        <w:t>el </w:t>
      </w:r>
      <w:r>
        <w:rPr>
          <w:spacing w:val="-3"/>
          <w:sz w:val="20"/>
        </w:rPr>
        <w:t>cumplimiento </w:t>
      </w:r>
      <w:r>
        <w:rPr>
          <w:sz w:val="20"/>
        </w:rPr>
        <w:t>de </w:t>
      </w:r>
      <w:r>
        <w:rPr>
          <w:spacing w:val="-3"/>
          <w:sz w:val="20"/>
        </w:rPr>
        <w:t>las obligaciones exigibles </w:t>
      </w:r>
      <w:r>
        <w:rPr>
          <w:sz w:val="20"/>
        </w:rPr>
        <w:t>y </w:t>
      </w:r>
      <w:r>
        <w:rPr>
          <w:spacing w:val="-3"/>
          <w:sz w:val="20"/>
        </w:rPr>
        <w:t>los gastos </w:t>
      </w:r>
      <w:r>
        <w:rPr>
          <w:sz w:val="20"/>
        </w:rPr>
        <w:t>de </w:t>
      </w:r>
      <w:r>
        <w:rPr>
          <w:spacing w:val="-3"/>
          <w:sz w:val="20"/>
        </w:rPr>
        <w:t>funcionamiento </w:t>
      </w:r>
      <w:r>
        <w:rPr>
          <w:sz w:val="20"/>
        </w:rPr>
        <w:t>de los </w:t>
      </w:r>
      <w:r>
        <w:rPr>
          <w:spacing w:val="-3"/>
          <w:sz w:val="20"/>
        </w:rPr>
        <w:t>servicios </w:t>
      </w:r>
      <w:r>
        <w:rPr>
          <w:spacing w:val="-8"/>
          <w:sz w:val="20"/>
        </w:rPr>
        <w:t>y, </w:t>
      </w:r>
      <w:r>
        <w:rPr>
          <w:sz w:val="20"/>
        </w:rPr>
        <w:t>en </w:t>
      </w:r>
      <w:r>
        <w:rPr>
          <w:spacing w:val="-3"/>
          <w:sz w:val="20"/>
        </w:rPr>
        <w:t>consecuencia, la efectiva nivelación </w:t>
      </w:r>
      <w:r>
        <w:rPr>
          <w:sz w:val="20"/>
        </w:rPr>
        <w:t>del </w:t>
      </w:r>
      <w:r>
        <w:rPr>
          <w:spacing w:val="-3"/>
          <w:sz w:val="20"/>
        </w:rPr>
        <w:t>Presupuesto.</w:t>
      </w:r>
    </w:p>
    <w:p>
      <w:pPr>
        <w:pStyle w:val="BodyText"/>
        <w:spacing w:before="6"/>
        <w:rPr>
          <w:sz w:val="19"/>
        </w:rPr>
      </w:pPr>
    </w:p>
    <w:p>
      <w:pPr>
        <w:pStyle w:val="ListParagraph"/>
        <w:numPr>
          <w:ilvl w:val="0"/>
          <w:numId w:val="2"/>
        </w:numPr>
        <w:tabs>
          <w:tab w:pos="974" w:val="left" w:leader="none"/>
        </w:tabs>
        <w:spacing w:line="240" w:lineRule="auto" w:before="0" w:after="0"/>
        <w:ind w:left="973" w:right="0" w:hanging="164"/>
        <w:jc w:val="left"/>
        <w:rPr>
          <w:sz w:val="20"/>
        </w:rPr>
      </w:pPr>
      <w:r>
        <w:rPr>
          <w:spacing w:val="-3"/>
          <w:sz w:val="20"/>
        </w:rPr>
        <w:t>Anexo </w:t>
      </w:r>
      <w:r>
        <w:rPr>
          <w:sz w:val="20"/>
        </w:rPr>
        <w:t>de </w:t>
      </w:r>
      <w:r>
        <w:rPr>
          <w:spacing w:val="-3"/>
          <w:sz w:val="20"/>
        </w:rPr>
        <w:t>beneficios</w:t>
      </w:r>
      <w:r>
        <w:rPr>
          <w:spacing w:val="-14"/>
          <w:sz w:val="20"/>
        </w:rPr>
        <w:t> </w:t>
      </w:r>
      <w:r>
        <w:rPr>
          <w:spacing w:val="-3"/>
          <w:sz w:val="20"/>
        </w:rPr>
        <w:t>fiscales.</w:t>
      </w:r>
    </w:p>
    <w:p>
      <w:pPr>
        <w:pStyle w:val="BodyText"/>
        <w:spacing w:before="3"/>
      </w:pPr>
    </w:p>
    <w:p>
      <w:pPr>
        <w:pStyle w:val="ListParagraph"/>
        <w:numPr>
          <w:ilvl w:val="0"/>
          <w:numId w:val="2"/>
        </w:numPr>
        <w:tabs>
          <w:tab w:pos="1008" w:val="left" w:leader="none"/>
        </w:tabs>
        <w:spacing w:line="240" w:lineRule="auto" w:before="1" w:after="0"/>
        <w:ind w:left="1007" w:right="0" w:hanging="198"/>
        <w:jc w:val="left"/>
        <w:rPr>
          <w:sz w:val="20"/>
        </w:rPr>
      </w:pPr>
      <w:r>
        <w:rPr>
          <w:spacing w:val="-3"/>
          <w:sz w:val="20"/>
        </w:rPr>
        <w:t>Anexo </w:t>
      </w:r>
      <w:r>
        <w:rPr>
          <w:sz w:val="20"/>
        </w:rPr>
        <w:t>de </w:t>
      </w:r>
      <w:r>
        <w:rPr>
          <w:spacing w:val="-3"/>
          <w:sz w:val="20"/>
        </w:rPr>
        <w:t>convenios suscritos con la</w:t>
      </w:r>
      <w:r>
        <w:rPr>
          <w:spacing w:val="-24"/>
          <w:sz w:val="20"/>
        </w:rPr>
        <w:t> </w:t>
      </w:r>
      <w:r>
        <w:rPr>
          <w:spacing w:val="-3"/>
          <w:sz w:val="20"/>
        </w:rPr>
        <w:t>CCAA</w:t>
      </w:r>
    </w:p>
    <w:p>
      <w:pPr>
        <w:spacing w:after="0" w:line="240" w:lineRule="auto"/>
        <w:jc w:val="left"/>
        <w:rPr>
          <w:sz w:val="20"/>
        </w:rPr>
        <w:sectPr>
          <w:headerReference w:type="default" r:id="rId5"/>
          <w:type w:val="continuous"/>
          <w:pgSz w:w="11900" w:h="16840"/>
          <w:pgMar w:header="696" w:top="2480" w:bottom="280" w:left="800" w:right="0"/>
        </w:sectPr>
      </w:pPr>
    </w:p>
    <w:p>
      <w:pPr>
        <w:pStyle w:val="BodyText"/>
        <w:spacing w:before="4"/>
        <w:rPr>
          <w:sz w:val="16"/>
        </w:rPr>
      </w:pPr>
      <w:r>
        <w:rPr/>
        <w:pict>
          <v:line style="position:absolute;mso-position-horizontal-relative:page;mso-position-vertical-relative:page;z-index:251660288"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before="1"/>
        <w:rPr>
          <w:rFonts w:ascii="Calibri"/>
        </w:rPr>
      </w:pPr>
    </w:p>
    <w:p>
      <w:pPr>
        <w:pStyle w:val="BodyText"/>
        <w:ind w:left="499" w:right="8879"/>
        <w:jc w:val="center"/>
        <w:rPr>
          <w:rFonts w:ascii="Calibri"/>
        </w:rPr>
      </w:pPr>
      <w:r>
        <w:rPr>
          <w:rFonts w:ascii="Calibri"/>
        </w:rPr>
        <w:t>Fax 928833549</w:t>
      </w:r>
    </w:p>
    <w:p>
      <w:pPr>
        <w:pStyle w:val="BodyText"/>
        <w:spacing w:before="10"/>
        <w:rPr>
          <w:rFonts w:ascii="Calibri"/>
          <w:sz w:val="9"/>
        </w:rPr>
      </w:pPr>
    </w:p>
    <w:p>
      <w:pPr>
        <w:pStyle w:val="Heading2"/>
        <w:spacing w:before="91"/>
        <w:ind w:left="2799"/>
      </w:pPr>
      <w:r>
        <w:rPr>
          <w:u w:val="single"/>
        </w:rPr>
        <w:t>SEGUNDO.- ANÁLISIS DE SU CONTENIDO</w:t>
      </w:r>
    </w:p>
    <w:p>
      <w:pPr>
        <w:pStyle w:val="BodyText"/>
        <w:spacing w:before="2"/>
        <w:rPr>
          <w:b/>
          <w:sz w:val="12"/>
        </w:rPr>
      </w:pPr>
    </w:p>
    <w:p>
      <w:pPr>
        <w:pStyle w:val="BodyText"/>
        <w:spacing w:before="91"/>
        <w:ind w:left="102" w:right="1742" w:firstLine="708"/>
      </w:pPr>
      <w:r>
        <w:rPr/>
        <w:t>Indicar que el presente presupuesto se ha confeccionado al igual que el de </w:t>
      </w:r>
      <w:r>
        <w:rPr>
          <w:b/>
        </w:rPr>
        <w:t>2023 </w:t>
      </w:r>
      <w:r>
        <w:rPr/>
        <w:t>de conformidad con la orden EHA/3565/2008, de 3 de diciembre, por la que se aprueba la estructura de los presupuestos de las entidades locales siendo modificada por la 419/2014 de 14 de marzo, sustituyendo así la antigua codificación de partidas, ahora llamadas aplicaciones presupuestarias. Dichas modificaciones se justifican en la iniciativa del Estado por que todas las corporaciones locales y comunidades autónomas ajusten sus contabilidades a la estructura por ellos utilizadas, es decir, que se adapte al sistema nacional de contabilidad que se rige por el Sistema Europeo de Cuentas. Con esto se pretende facilitar el control de cuentas locales y autonómicas por parte del estado y a una más fácil integración, posibilitar un examen más sencillo del principio de corresponsabilidad fiscal. Es por ello que sobre todo en lo que a la clasificación funcional se refiere, se produce una enorme variación del Presupuesto.</w:t>
      </w:r>
    </w:p>
    <w:p>
      <w:pPr>
        <w:pStyle w:val="BodyText"/>
        <w:spacing w:before="10"/>
      </w:pPr>
    </w:p>
    <w:p>
      <w:pPr>
        <w:pStyle w:val="Heading1"/>
        <w:numPr>
          <w:ilvl w:val="1"/>
          <w:numId w:val="2"/>
        </w:numPr>
        <w:tabs>
          <w:tab w:pos="4384" w:val="left" w:leader="none"/>
        </w:tabs>
        <w:spacing w:line="240" w:lineRule="auto" w:before="0" w:after="0"/>
        <w:ind w:left="4383" w:right="1592" w:hanging="4384"/>
        <w:jc w:val="left"/>
      </w:pPr>
      <w:r>
        <w:rPr/>
        <w:t>GASTOS:</w:t>
      </w:r>
    </w:p>
    <w:p>
      <w:pPr>
        <w:pStyle w:val="Heading2"/>
        <w:spacing w:before="232"/>
        <w:ind w:left="810"/>
      </w:pPr>
      <w:r>
        <w:rPr/>
        <w:t>A.1.</w:t>
      </w:r>
    </w:p>
    <w:p>
      <w:pPr>
        <w:pStyle w:val="BodyText"/>
        <w:spacing w:before="3"/>
        <w:rPr>
          <w:b/>
        </w:rPr>
      </w:pPr>
    </w:p>
    <w:p>
      <w:pPr>
        <w:pStyle w:val="BodyText"/>
        <w:ind w:left="102" w:right="1693" w:firstLine="708"/>
        <w:jc w:val="both"/>
      </w:pPr>
      <w:r>
        <w:rPr/>
        <w:t>El Presupuesto para el año 2024 nos encontramos en líneas generales con un Presupuesto que se confecciona sin tener en cuenta la regla de gasto en tanto la misma ha sido suspendida por acuerdo del Consejo de Ministros y que se confecciona en términos estrictos de estabilidad presupuestaria lo cual se refleja en la igualdad del total de gastos e ingresos teniendo en cuenta que estos últimos se ha previsto según la realidad de caja o ingresos que se estiman sean efectivamente</w:t>
      </w:r>
      <w:r>
        <w:rPr>
          <w:spacing w:val="-2"/>
        </w:rPr>
        <w:t> </w:t>
      </w:r>
      <w:r>
        <w:rPr/>
        <w:t>recaudados.</w:t>
      </w:r>
    </w:p>
    <w:p>
      <w:pPr>
        <w:pStyle w:val="BodyText"/>
        <w:spacing w:before="5"/>
      </w:pPr>
    </w:p>
    <w:p>
      <w:pPr>
        <w:pStyle w:val="BodyText"/>
        <w:spacing w:line="242" w:lineRule="auto"/>
        <w:ind w:left="102" w:right="1699" w:firstLine="708"/>
        <w:jc w:val="both"/>
      </w:pPr>
      <w:r>
        <w:rPr/>
        <w:t>En relación al Presupuesto de 2024 que ya se consignó en dichos términos nos encontramos con un aumento en el Presupuesto de ingresos notable de 1,3 millones de euros hasta los 29 millones y los gastos por lo tanto no lo superan fijándose en igual cantidad.</w:t>
      </w:r>
    </w:p>
    <w:p>
      <w:pPr>
        <w:pStyle w:val="BodyText"/>
        <w:spacing w:before="8"/>
        <w:rPr>
          <w:sz w:val="19"/>
        </w:rPr>
      </w:pPr>
    </w:p>
    <w:p>
      <w:pPr>
        <w:pStyle w:val="BodyText"/>
        <w:spacing w:line="242" w:lineRule="auto" w:before="1"/>
        <w:ind w:left="102" w:right="1693" w:firstLine="708"/>
        <w:jc w:val="both"/>
      </w:pPr>
      <w:r>
        <w:rPr/>
        <w:t>Se aumenta la previsión de plusvalías municipales en unos 200.000 euros pareciendo suficientemente prudente vista la recaudación en 2023 que supera los 2 millones. Así como el FCFM y REF que se incrementan más que considerablemente en 0,6 y 0,3 millones respectivamente. debido a las buenas previsiones de la CCAA.</w:t>
      </w:r>
    </w:p>
    <w:p>
      <w:pPr>
        <w:pStyle w:val="BodyText"/>
        <w:ind w:left="102" w:right="1693" w:firstLine="784"/>
        <w:jc w:val="both"/>
      </w:pPr>
      <w:r>
        <w:rPr/>
        <w:t>En lo que se refiere al gasto corriente nos encontramos con un aumento de 0,5 millones de euros con respecto al año pasado teniendo en cuenta que a varios meses del cierre del ejercicio nos encontramos con diversas partidas agotadas lo cual causó problemas en la normal actividad de la corporación. Partidas tales como las pertenecientes a la bolsa 920 2 y festejos, actividades deportivas y principalmente iluminación y sonido. Tales partidas se han reforzado para este año 2024 y se pretende que no haya escasez de crédito en las mismas, aunque si bien el ritmo de gasto durante el ejercicio 2023 ha sido muy elevado, siendo evidene ser año electorial, y siendo descontrolado en cuanto a algunas partidas y servicios.</w:t>
      </w:r>
    </w:p>
    <w:p>
      <w:pPr>
        <w:pStyle w:val="BodyText"/>
        <w:spacing w:before="4"/>
        <w:ind w:left="102" w:right="1699" w:firstLine="708"/>
        <w:jc w:val="both"/>
      </w:pPr>
      <w:r>
        <w:rPr/>
        <w:t>También aumenta unos 160,000 euros en el 4, habiéndose recogido 90.000 euros para inversión y recogiéndose también el debido aumento del capítulo 1.</w:t>
      </w:r>
    </w:p>
    <w:p>
      <w:pPr>
        <w:pStyle w:val="BodyText"/>
        <w:spacing w:before="1"/>
      </w:pPr>
    </w:p>
    <w:p>
      <w:pPr>
        <w:pStyle w:val="BodyText"/>
        <w:ind w:left="810"/>
      </w:pPr>
      <w:r>
        <w:rPr/>
        <w:t>El proyecto del presente Presupuesto contempla un equilibrio entre la previsión de ingresos y gastos.</w:t>
      </w:r>
    </w:p>
    <w:p>
      <w:pPr>
        <w:pStyle w:val="BodyText"/>
        <w:spacing w:before="3"/>
      </w:pPr>
    </w:p>
    <w:p>
      <w:pPr>
        <w:pStyle w:val="BodyText"/>
        <w:spacing w:before="1"/>
        <w:ind w:left="102" w:right="1689" w:firstLine="760"/>
        <w:jc w:val="both"/>
      </w:pPr>
      <w:r>
        <w:rPr/>
        <w:t>En lo que se refiera a gasto corriente se continúa con crédito para las contrataciones vigentes. Por ejemplo para la limpieza de dependencias cuyo contrato ya sí está vigente después de un largo proceso de licitación. Actualmente están sin contrato el socorrismo ni el de ayuda a domicilio. Respecto a este último cabe indicar que de acuerdo con la Ley Canaria de Servicios Sociales no corresponde a los Ayuntamientos su prestación pues excede de la atribución que les corresponde en lo que se refiere únicamente a atención primaria o de diagnóstico. Por otro lado hay que destacar que tanto el suministro de energía eléctrica así como el de telefonía se encuentran a la fecha debidamente contratados.</w:t>
      </w:r>
    </w:p>
    <w:p>
      <w:pPr>
        <w:pStyle w:val="BodyText"/>
        <w:spacing w:before="7"/>
        <w:ind w:left="102" w:right="1698" w:firstLine="708"/>
        <w:jc w:val="both"/>
      </w:pPr>
      <w:r>
        <w:rPr/>
        <w:t>Dicho crédito para gasto corriente del capítulo 2, se entiende que dicho crédito en principio es suficiente si bien siempre es normal que se deban realizar algunos ajustes y modificaciones durante el año por las vicisitudes que</w:t>
      </w:r>
    </w:p>
    <w:p>
      <w:pPr>
        <w:spacing w:after="0"/>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2336"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702"/>
        <w:jc w:val="both"/>
      </w:pPr>
      <w:r>
        <w:rPr/>
        <w:t>se vayan produciendo. En todo caso deberá darse una mayor contención del gasto recordando que los créditos </w:t>
      </w:r>
      <w:r>
        <w:rPr>
          <w:spacing w:val="-1"/>
          <w:w w:val="99"/>
        </w:rPr>
        <w:t>ti</w:t>
      </w:r>
      <w:r>
        <w:rPr>
          <w:w w:val="99"/>
        </w:rPr>
        <w:t>e</w:t>
      </w:r>
      <w:r>
        <w:rPr>
          <w:spacing w:val="1"/>
          <w:w w:val="99"/>
        </w:rPr>
        <w:t>n</w:t>
      </w:r>
      <w:r>
        <w:rPr>
          <w:w w:val="99"/>
        </w:rPr>
        <w:t>en</w:t>
      </w:r>
      <w:r>
        <w:rPr>
          <w:spacing w:val="1"/>
        </w:rPr>
        <w:t> </w:t>
      </w:r>
      <w:r>
        <w:rPr>
          <w:spacing w:val="-2"/>
          <w:w w:val="99"/>
        </w:rPr>
        <w:t>n</w:t>
      </w:r>
      <w:r>
        <w:rPr>
          <w:spacing w:val="-82"/>
          <w:w w:val="99"/>
        </w:rPr>
        <w:t>a</w:t>
      </w:r>
      <w:r>
        <w:rPr>
          <w:rFonts w:ascii="Calibri" w:hAnsi="Calibri"/>
          <w:spacing w:val="-10"/>
          <w:w w:val="99"/>
          <w:position w:val="10"/>
        </w:rPr>
        <w:t>F</w:t>
      </w:r>
      <w:r>
        <w:rPr>
          <w:spacing w:val="-51"/>
          <w:w w:val="99"/>
        </w:rPr>
        <w:t>t</w:t>
      </w:r>
      <w:r>
        <w:rPr>
          <w:rFonts w:ascii="Calibri" w:hAnsi="Calibri"/>
          <w:spacing w:val="-45"/>
          <w:w w:val="99"/>
          <w:position w:val="10"/>
        </w:rPr>
        <w:t>a</w:t>
      </w:r>
      <w:r>
        <w:rPr>
          <w:spacing w:val="-57"/>
          <w:w w:val="99"/>
        </w:rPr>
        <w:t>u</w:t>
      </w:r>
      <w:r>
        <w:rPr>
          <w:rFonts w:ascii="Calibri" w:hAnsi="Calibri"/>
          <w:spacing w:val="-29"/>
          <w:w w:val="99"/>
          <w:position w:val="10"/>
        </w:rPr>
        <w:t>x</w:t>
      </w:r>
      <w:r>
        <w:rPr>
          <w:w w:val="99"/>
        </w:rPr>
        <w:t>r</w:t>
      </w:r>
      <w:r>
        <w:rPr>
          <w:spacing w:val="-82"/>
          <w:w w:val="99"/>
        </w:rPr>
        <w:t>a</w:t>
      </w:r>
      <w:r>
        <w:rPr>
          <w:rFonts w:ascii="Calibri" w:hAnsi="Calibri"/>
          <w:spacing w:val="-20"/>
          <w:w w:val="99"/>
          <w:position w:val="10"/>
        </w:rPr>
        <w:t>9</w:t>
      </w:r>
      <w:r>
        <w:rPr>
          <w:spacing w:val="-37"/>
          <w:w w:val="99"/>
        </w:rPr>
        <w:t>l</w:t>
      </w:r>
      <w:r>
        <w:rPr>
          <w:rFonts w:ascii="Calibri" w:hAnsi="Calibri"/>
          <w:spacing w:val="-65"/>
          <w:w w:val="99"/>
          <w:position w:val="10"/>
        </w:rPr>
        <w:t>2</w:t>
      </w:r>
      <w:r>
        <w:rPr>
          <w:spacing w:val="-24"/>
          <w:w w:val="99"/>
        </w:rPr>
        <w:t>e</w:t>
      </w:r>
      <w:r>
        <w:rPr>
          <w:rFonts w:ascii="Calibri" w:hAnsi="Calibri"/>
          <w:spacing w:val="-77"/>
          <w:w w:val="99"/>
          <w:position w:val="10"/>
        </w:rPr>
        <w:t>8</w:t>
      </w:r>
      <w:r>
        <w:rPr>
          <w:spacing w:val="-12"/>
          <w:w w:val="99"/>
        </w:rPr>
        <w:t>z</w:t>
      </w:r>
      <w:r>
        <w:rPr>
          <w:rFonts w:ascii="Calibri" w:hAnsi="Calibri"/>
          <w:spacing w:val="-89"/>
          <w:w w:val="99"/>
          <w:position w:val="10"/>
        </w:rPr>
        <w:t>8</w:t>
      </w:r>
      <w:r>
        <w:rPr>
          <w:spacing w:val="2"/>
          <w:w w:val="99"/>
        </w:rPr>
        <w:t>a</w:t>
      </w:r>
      <w:r>
        <w:rPr>
          <w:rFonts w:ascii="Calibri" w:hAnsi="Calibri"/>
          <w:spacing w:val="-53"/>
          <w:w w:val="99"/>
          <w:position w:val="10"/>
        </w:rPr>
        <w:t>3</w:t>
      </w:r>
      <w:r>
        <w:rPr>
          <w:spacing w:val="-3"/>
          <w:w w:val="99"/>
        </w:rPr>
        <w:t>l</w:t>
      </w:r>
      <w:r>
        <w:rPr>
          <w:rFonts w:ascii="Calibri" w:hAnsi="Calibri"/>
          <w:spacing w:val="-99"/>
          <w:w w:val="99"/>
          <w:position w:val="10"/>
        </w:rPr>
        <w:t>3</w:t>
      </w:r>
      <w:r>
        <w:rPr>
          <w:spacing w:val="-1"/>
          <w:w w:val="99"/>
        </w:rPr>
        <w:t>i</w:t>
      </w:r>
      <w:r>
        <w:rPr>
          <w:spacing w:val="-113"/>
          <w:w w:val="99"/>
        </w:rPr>
        <w:t>m</w:t>
      </w:r>
      <w:r>
        <w:rPr>
          <w:rFonts w:ascii="Calibri" w:hAnsi="Calibri"/>
          <w:spacing w:val="-1"/>
          <w:w w:val="99"/>
          <w:position w:val="10"/>
        </w:rPr>
        <w:t>5</w:t>
      </w:r>
      <w:r>
        <w:rPr>
          <w:rFonts w:ascii="Calibri" w:hAnsi="Calibri"/>
          <w:spacing w:val="-89"/>
          <w:w w:val="99"/>
          <w:position w:val="10"/>
        </w:rPr>
        <w:t>4</w:t>
      </w:r>
      <w:r>
        <w:rPr>
          <w:spacing w:val="-1"/>
          <w:w w:val="99"/>
        </w:rPr>
        <w:t>i</w:t>
      </w:r>
      <w:r>
        <w:rPr>
          <w:spacing w:val="-23"/>
          <w:w w:val="99"/>
        </w:rPr>
        <w:t>t</w:t>
      </w:r>
      <w:r>
        <w:rPr>
          <w:rFonts w:ascii="Calibri" w:hAnsi="Calibri"/>
          <w:spacing w:val="-79"/>
          <w:w w:val="99"/>
          <w:position w:val="10"/>
        </w:rPr>
        <w:t>9</w:t>
      </w:r>
      <w:r>
        <w:rPr>
          <w:w w:val="99"/>
        </w:rPr>
        <w:t>a</w:t>
      </w:r>
      <w:r>
        <w:rPr>
          <w:spacing w:val="-1"/>
          <w:w w:val="99"/>
        </w:rPr>
        <w:t>ti</w:t>
      </w:r>
      <w:r>
        <w:rPr>
          <w:spacing w:val="1"/>
          <w:w w:val="99"/>
        </w:rPr>
        <w:t>v</w:t>
      </w:r>
      <w:r>
        <w:rPr>
          <w:w w:val="99"/>
        </w:rPr>
        <w:t>a.</w:t>
      </w:r>
    </w:p>
    <w:p>
      <w:pPr>
        <w:pStyle w:val="BodyText"/>
        <w:rPr>
          <w:sz w:val="28"/>
        </w:rPr>
      </w:pPr>
    </w:p>
    <w:p>
      <w:pPr>
        <w:pStyle w:val="BodyText"/>
        <w:rPr>
          <w:sz w:val="28"/>
        </w:rPr>
      </w:pPr>
    </w:p>
    <w:p>
      <w:pPr>
        <w:pStyle w:val="BodyText"/>
        <w:rPr>
          <w:sz w:val="28"/>
        </w:rPr>
      </w:pPr>
    </w:p>
    <w:p>
      <w:pPr>
        <w:pStyle w:val="Heading2"/>
        <w:numPr>
          <w:ilvl w:val="1"/>
          <w:numId w:val="3"/>
        </w:numPr>
        <w:tabs>
          <w:tab w:pos="1156" w:val="left" w:leader="none"/>
        </w:tabs>
        <w:spacing w:line="240" w:lineRule="auto" w:before="174" w:after="0"/>
        <w:ind w:left="1155" w:right="0" w:hanging="346"/>
        <w:jc w:val="left"/>
      </w:pPr>
      <w:r>
        <w:rPr>
          <w:spacing w:val="-3"/>
        </w:rPr>
        <w:t>ESTADO </w:t>
      </w:r>
      <w:r>
        <w:rPr/>
        <w:t>DE LA</w:t>
      </w:r>
      <w:r>
        <w:rPr>
          <w:spacing w:val="-7"/>
        </w:rPr>
        <w:t> </w:t>
      </w:r>
      <w:r>
        <w:rPr/>
        <w:t>DEUDA</w:t>
      </w:r>
    </w:p>
    <w:p>
      <w:pPr>
        <w:pStyle w:val="BodyText"/>
        <w:spacing w:before="3"/>
        <w:rPr>
          <w:b/>
        </w:rPr>
      </w:pPr>
    </w:p>
    <w:p>
      <w:pPr>
        <w:pStyle w:val="BodyText"/>
        <w:ind w:left="102" w:right="1691"/>
        <w:jc w:val="both"/>
      </w:pPr>
      <w:r>
        <w:rPr/>
        <w:t>El nivel de endeudamiento se ha situado a final del ejercicio 2023 en el 0% de los ingresos corrientes liquidados en el ejercicio 2022, pues es el último liquidado. Ello en tanto se han amortizado totalmente los préstamos que quedaban vigentes durante el mes de diciembre de 2019, que era el de BBVA. Por lo tanto no hay préstamos vigentes a la fecha con entidades bancarias.</w:t>
      </w:r>
    </w:p>
    <w:p>
      <w:pPr>
        <w:pStyle w:val="BodyText"/>
        <w:spacing w:before="5"/>
        <w:ind w:left="102" w:right="6641"/>
      </w:pPr>
      <w:r>
        <w:rPr/>
        <w:t>Las operaciones de tesorería a fecha actual no existen. El ahorro neto de la Corporación es positivo.</w:t>
      </w:r>
    </w:p>
    <w:p>
      <w:pPr>
        <w:pStyle w:val="BodyText"/>
        <w:ind w:left="102"/>
      </w:pPr>
      <w:r>
        <w:rPr/>
        <w:t>No hay por tanto crédito previsto en el capítulo 9 del Presupuesto.</w:t>
      </w:r>
    </w:p>
    <w:p>
      <w:pPr>
        <w:pStyle w:val="BodyText"/>
        <w:spacing w:line="242" w:lineRule="auto" w:before="1"/>
        <w:ind w:left="102" w:right="1693" w:firstLine="79"/>
        <w:jc w:val="both"/>
      </w:pPr>
      <w:r>
        <w:rPr/>
        <w:t>Señalar que se prevé cantidades en el capítulo 3 reducidas en comparación con 2022 en tanto que se han ido terminando los cobros que las entidades de crédito estaban practicando sobre los depósitos bancarios de la corporación.</w:t>
      </w:r>
    </w:p>
    <w:p>
      <w:pPr>
        <w:pStyle w:val="BodyText"/>
        <w:rPr>
          <w:sz w:val="22"/>
        </w:rPr>
      </w:pPr>
    </w:p>
    <w:p>
      <w:pPr>
        <w:pStyle w:val="BodyText"/>
        <w:rPr>
          <w:sz w:val="18"/>
        </w:rPr>
      </w:pPr>
    </w:p>
    <w:p>
      <w:pPr>
        <w:pStyle w:val="Heading2"/>
        <w:numPr>
          <w:ilvl w:val="1"/>
          <w:numId w:val="3"/>
        </w:numPr>
        <w:tabs>
          <w:tab w:pos="1156" w:val="left" w:leader="none"/>
        </w:tabs>
        <w:spacing w:line="240" w:lineRule="auto" w:before="0" w:after="0"/>
        <w:ind w:left="1155" w:right="0" w:hanging="346"/>
        <w:jc w:val="left"/>
      </w:pPr>
      <w:r>
        <w:rPr/>
        <w:t>GASTOS DE</w:t>
      </w:r>
      <w:r>
        <w:rPr>
          <w:spacing w:val="-2"/>
        </w:rPr>
        <w:t> </w:t>
      </w:r>
      <w:r>
        <w:rPr/>
        <w:t>PERSONAL</w:t>
      </w:r>
    </w:p>
    <w:p>
      <w:pPr>
        <w:pStyle w:val="BodyText"/>
        <w:rPr>
          <w:b/>
        </w:rPr>
      </w:pPr>
    </w:p>
    <w:p>
      <w:pPr>
        <w:pStyle w:val="BodyText"/>
        <w:spacing w:before="1"/>
        <w:ind w:left="102" w:right="1703"/>
      </w:pPr>
      <w:r>
        <w:rPr/>
        <w:t>En primer lugar debemos hacer mención a la reducción operada sobre los salarios de los empleados municipales por parte del Decreto 8/2010, que supuso la minoración de la masa global de retribuciones del 5% a partir del año 2010. También cabe destacar la inclusión del aumento del 2,5% previsto respecto de las retribuciones de la totalidad de los empleados municipales tal y como ha sido ya aprobado. Ello sumado a la subida con carácter retroactiva aprobada en noviembre del 1,5%.</w:t>
      </w:r>
    </w:p>
    <w:p>
      <w:pPr>
        <w:pStyle w:val="BodyText"/>
        <w:spacing w:before="9"/>
        <w:rPr>
          <w:sz w:val="24"/>
        </w:rPr>
      </w:pPr>
    </w:p>
    <w:p>
      <w:pPr>
        <w:spacing w:line="240" w:lineRule="auto" w:before="0"/>
        <w:ind w:left="102" w:right="1692" w:firstLine="0"/>
        <w:jc w:val="both"/>
        <w:rPr>
          <w:i/>
          <w:sz w:val="20"/>
        </w:rPr>
      </w:pPr>
      <w:r>
        <w:rPr>
          <w:sz w:val="20"/>
        </w:rPr>
        <w:t>De conformidad con el artículo 7 del RD 861/86, de 25 de abril, por el que se establece el régimen de las retribuciones de los funcionarios de la Administración local, </w:t>
      </w:r>
      <w:r>
        <w:rPr>
          <w:i/>
          <w:sz w:val="20"/>
        </w:rPr>
        <w:t>“los créditos destinados a complemento específico, complemento de productividad, gratificaciones </w:t>
      </w:r>
      <w:r>
        <w:rPr>
          <w:i/>
          <w:spacing w:val="-6"/>
          <w:sz w:val="20"/>
        </w:rPr>
        <w:t>y, </w:t>
      </w:r>
      <w:r>
        <w:rPr>
          <w:i/>
          <w:sz w:val="20"/>
        </w:rPr>
        <w:t>en su caso, complementos personales transitorios, serán los que resulten de restar a la masa retributiva global presupuestada para cada ejercicio económico, excluida la referida al personal laboral, la suma de las cantidades que al personal funcionario le correspondan por los conceptos de retribuciones básicas, ayuda familiar y complemento de</w:t>
      </w:r>
      <w:r>
        <w:rPr>
          <w:i/>
          <w:spacing w:val="-4"/>
          <w:sz w:val="20"/>
        </w:rPr>
        <w:t> </w:t>
      </w:r>
      <w:r>
        <w:rPr>
          <w:i/>
          <w:sz w:val="20"/>
        </w:rPr>
        <w:t>destino.</w:t>
      </w:r>
    </w:p>
    <w:p>
      <w:pPr>
        <w:pStyle w:val="BodyText"/>
        <w:rPr>
          <w:i/>
          <w:sz w:val="22"/>
        </w:rPr>
      </w:pPr>
    </w:p>
    <w:p>
      <w:pPr>
        <w:pStyle w:val="BodyText"/>
        <w:spacing w:before="3"/>
        <w:rPr>
          <w:i/>
          <w:sz w:val="27"/>
        </w:rPr>
      </w:pPr>
    </w:p>
    <w:p>
      <w:pPr>
        <w:pStyle w:val="ListParagraph"/>
        <w:numPr>
          <w:ilvl w:val="0"/>
          <w:numId w:val="4"/>
        </w:numPr>
        <w:tabs>
          <w:tab w:pos="302" w:val="left" w:leader="none"/>
        </w:tabs>
        <w:spacing w:line="240" w:lineRule="auto" w:before="0" w:after="0"/>
        <w:ind w:left="301" w:right="0" w:hanging="200"/>
        <w:jc w:val="left"/>
        <w:rPr>
          <w:i/>
          <w:sz w:val="20"/>
        </w:rPr>
      </w:pPr>
      <w:r>
        <w:rPr>
          <w:i/>
          <w:sz w:val="20"/>
        </w:rPr>
        <w:t>La cantidad que resulte, con arreglo a lo dispuesto en el número </w:t>
      </w:r>
      <w:r>
        <w:rPr>
          <w:i/>
          <w:spacing w:val="-3"/>
          <w:sz w:val="20"/>
        </w:rPr>
        <w:t>anterior, </w:t>
      </w:r>
      <w:r>
        <w:rPr>
          <w:i/>
          <w:sz w:val="20"/>
        </w:rPr>
        <w:t>se</w:t>
      </w:r>
      <w:r>
        <w:rPr>
          <w:i/>
          <w:spacing w:val="-9"/>
          <w:sz w:val="20"/>
        </w:rPr>
        <w:t> </w:t>
      </w:r>
      <w:r>
        <w:rPr>
          <w:i/>
          <w:sz w:val="20"/>
        </w:rPr>
        <w:t>destinará:</w:t>
      </w:r>
    </w:p>
    <w:p>
      <w:pPr>
        <w:pStyle w:val="BodyText"/>
        <w:spacing w:before="5"/>
        <w:rPr>
          <w:i/>
          <w:sz w:val="24"/>
        </w:rPr>
      </w:pPr>
    </w:p>
    <w:p>
      <w:pPr>
        <w:pStyle w:val="ListParagraph"/>
        <w:numPr>
          <w:ilvl w:val="1"/>
          <w:numId w:val="4"/>
        </w:numPr>
        <w:tabs>
          <w:tab w:pos="822" w:val="left" w:leader="none"/>
          <w:tab w:pos="823" w:val="left" w:leader="none"/>
        </w:tabs>
        <w:spacing w:line="240" w:lineRule="auto" w:before="0" w:after="0"/>
        <w:ind w:left="822" w:right="1714" w:hanging="361"/>
        <w:jc w:val="left"/>
        <w:rPr>
          <w:i/>
          <w:sz w:val="20"/>
        </w:rPr>
      </w:pPr>
      <w:r>
        <w:rPr>
          <w:i/>
          <w:sz w:val="20"/>
        </w:rPr>
        <w:t>Hasta un máximo del 75 % para complemento específico, en cualquiera de sus modalidades, incluyendo el de penosidad o peligrosidad para la policía municipal y servicio de extinción de</w:t>
      </w:r>
      <w:r>
        <w:rPr>
          <w:i/>
          <w:spacing w:val="-20"/>
          <w:sz w:val="20"/>
        </w:rPr>
        <w:t> </w:t>
      </w:r>
      <w:r>
        <w:rPr>
          <w:i/>
          <w:sz w:val="20"/>
        </w:rPr>
        <w:t>incendios.</w:t>
      </w:r>
    </w:p>
    <w:p>
      <w:pPr>
        <w:pStyle w:val="ListParagraph"/>
        <w:numPr>
          <w:ilvl w:val="1"/>
          <w:numId w:val="4"/>
        </w:numPr>
        <w:tabs>
          <w:tab w:pos="822" w:val="left" w:leader="none"/>
          <w:tab w:pos="823" w:val="left" w:leader="none"/>
        </w:tabs>
        <w:spacing w:line="240" w:lineRule="auto" w:before="1" w:after="0"/>
        <w:ind w:left="822" w:right="0" w:hanging="361"/>
        <w:jc w:val="left"/>
        <w:rPr>
          <w:i/>
          <w:sz w:val="20"/>
        </w:rPr>
      </w:pPr>
      <w:r>
        <w:rPr>
          <w:i/>
          <w:sz w:val="20"/>
        </w:rPr>
        <w:t>Hasta un máximo del 30 % para complemento de productividad.</w:t>
      </w:r>
    </w:p>
    <w:p>
      <w:pPr>
        <w:pStyle w:val="ListParagraph"/>
        <w:numPr>
          <w:ilvl w:val="1"/>
          <w:numId w:val="4"/>
        </w:numPr>
        <w:tabs>
          <w:tab w:pos="822" w:val="left" w:leader="none"/>
          <w:tab w:pos="823" w:val="left" w:leader="none"/>
        </w:tabs>
        <w:spacing w:line="240" w:lineRule="auto" w:before="3" w:after="0"/>
        <w:ind w:left="822" w:right="0" w:hanging="361"/>
        <w:jc w:val="left"/>
        <w:rPr>
          <w:sz w:val="20"/>
        </w:rPr>
      </w:pPr>
      <w:r>
        <w:rPr>
          <w:i/>
          <w:sz w:val="20"/>
        </w:rPr>
        <w:t>Hasta un máximo del 10 % para</w:t>
      </w:r>
      <w:r>
        <w:rPr>
          <w:i/>
          <w:spacing w:val="1"/>
          <w:sz w:val="20"/>
        </w:rPr>
        <w:t> </w:t>
      </w:r>
      <w:r>
        <w:rPr>
          <w:i/>
          <w:sz w:val="20"/>
        </w:rPr>
        <w:t>gratificaciones</w:t>
      </w:r>
      <w:r>
        <w:rPr>
          <w:sz w:val="20"/>
        </w:rPr>
        <w:t>.”</w:t>
      </w:r>
    </w:p>
    <w:p>
      <w:pPr>
        <w:pStyle w:val="BodyText"/>
        <w:ind w:left="102"/>
      </w:pPr>
      <w:r>
        <w:rPr/>
        <w:t>Se constata el cumplimiento de lo dispuesto en el artículo que acabamos de transcribir.</w:t>
      </w:r>
    </w:p>
    <w:p>
      <w:pPr>
        <w:pStyle w:val="BodyText"/>
        <w:spacing w:before="1"/>
      </w:pPr>
    </w:p>
    <w:p>
      <w:pPr>
        <w:spacing w:line="242" w:lineRule="auto" w:before="0"/>
        <w:ind w:left="102" w:right="1707" w:firstLine="0"/>
        <w:jc w:val="both"/>
        <w:rPr>
          <w:i/>
          <w:sz w:val="20"/>
        </w:rPr>
      </w:pPr>
      <w:r>
        <w:rPr>
          <w:sz w:val="20"/>
        </w:rPr>
        <w:t>De conformidad con el apartado primero del artículo 90 de la Ley 7/1985, de 2 de abril, mediante la que se aprueba la Ley Reguladora de las Bases de Régimen Local, </w:t>
      </w:r>
      <w:r>
        <w:rPr>
          <w:i/>
          <w:sz w:val="20"/>
        </w:rPr>
        <w:t>“corresponde a cada Corporación local aprobar anualmente, a través</w:t>
      </w:r>
      <w:r>
        <w:rPr>
          <w:i/>
          <w:spacing w:val="-3"/>
          <w:sz w:val="20"/>
        </w:rPr>
        <w:t> </w:t>
      </w:r>
      <w:r>
        <w:rPr>
          <w:i/>
          <w:sz w:val="20"/>
        </w:rPr>
        <w:t>del</w:t>
      </w:r>
      <w:r>
        <w:rPr>
          <w:i/>
          <w:spacing w:val="-4"/>
          <w:sz w:val="20"/>
        </w:rPr>
        <w:t> </w:t>
      </w:r>
      <w:r>
        <w:rPr>
          <w:i/>
          <w:sz w:val="20"/>
        </w:rPr>
        <w:t>Presupuesto,</w:t>
      </w:r>
      <w:r>
        <w:rPr>
          <w:i/>
          <w:spacing w:val="-3"/>
          <w:sz w:val="20"/>
        </w:rPr>
        <w:t> </w:t>
      </w:r>
      <w:r>
        <w:rPr>
          <w:i/>
          <w:sz w:val="20"/>
        </w:rPr>
        <w:t>la</w:t>
      </w:r>
      <w:r>
        <w:rPr>
          <w:i/>
          <w:spacing w:val="-6"/>
          <w:sz w:val="20"/>
        </w:rPr>
        <w:t> </w:t>
      </w:r>
      <w:r>
        <w:rPr>
          <w:i/>
          <w:sz w:val="20"/>
        </w:rPr>
        <w:t>plantilla,</w:t>
      </w:r>
      <w:r>
        <w:rPr>
          <w:i/>
          <w:spacing w:val="-6"/>
          <w:sz w:val="20"/>
        </w:rPr>
        <w:t> </w:t>
      </w:r>
      <w:r>
        <w:rPr>
          <w:i/>
          <w:sz w:val="20"/>
        </w:rPr>
        <w:t>que</w:t>
      </w:r>
      <w:r>
        <w:rPr>
          <w:i/>
          <w:spacing w:val="-6"/>
          <w:sz w:val="20"/>
        </w:rPr>
        <w:t> </w:t>
      </w:r>
      <w:r>
        <w:rPr>
          <w:i/>
          <w:sz w:val="20"/>
        </w:rPr>
        <w:t>deberá</w:t>
      </w:r>
      <w:r>
        <w:rPr>
          <w:i/>
          <w:spacing w:val="-3"/>
          <w:sz w:val="20"/>
        </w:rPr>
        <w:t> </w:t>
      </w:r>
      <w:r>
        <w:rPr>
          <w:i/>
          <w:sz w:val="20"/>
        </w:rPr>
        <w:t>comprender</w:t>
      </w:r>
      <w:r>
        <w:rPr>
          <w:i/>
          <w:spacing w:val="-5"/>
          <w:sz w:val="20"/>
        </w:rPr>
        <w:t> </w:t>
      </w:r>
      <w:r>
        <w:rPr>
          <w:i/>
          <w:sz w:val="20"/>
        </w:rPr>
        <w:t>todos</w:t>
      </w:r>
      <w:r>
        <w:rPr>
          <w:i/>
          <w:spacing w:val="-7"/>
          <w:sz w:val="20"/>
        </w:rPr>
        <w:t> </w:t>
      </w:r>
      <w:r>
        <w:rPr>
          <w:i/>
          <w:sz w:val="20"/>
        </w:rPr>
        <w:t>los</w:t>
      </w:r>
      <w:r>
        <w:rPr>
          <w:i/>
          <w:spacing w:val="-2"/>
          <w:sz w:val="20"/>
        </w:rPr>
        <w:t> </w:t>
      </w:r>
      <w:r>
        <w:rPr>
          <w:i/>
          <w:sz w:val="20"/>
        </w:rPr>
        <w:t>puestos</w:t>
      </w:r>
      <w:r>
        <w:rPr>
          <w:i/>
          <w:spacing w:val="-3"/>
          <w:sz w:val="20"/>
        </w:rPr>
        <w:t> </w:t>
      </w:r>
      <w:r>
        <w:rPr>
          <w:i/>
          <w:sz w:val="20"/>
        </w:rPr>
        <w:t>de</w:t>
      </w:r>
      <w:r>
        <w:rPr>
          <w:i/>
          <w:spacing w:val="-4"/>
          <w:sz w:val="20"/>
        </w:rPr>
        <w:t> </w:t>
      </w:r>
      <w:r>
        <w:rPr>
          <w:i/>
          <w:sz w:val="20"/>
        </w:rPr>
        <w:t>trabajo</w:t>
      </w:r>
      <w:r>
        <w:rPr>
          <w:i/>
          <w:spacing w:val="-5"/>
          <w:sz w:val="20"/>
        </w:rPr>
        <w:t> </w:t>
      </w:r>
      <w:r>
        <w:rPr>
          <w:i/>
          <w:sz w:val="20"/>
        </w:rPr>
        <w:t>reservados</w:t>
      </w:r>
      <w:r>
        <w:rPr>
          <w:i/>
          <w:spacing w:val="-3"/>
          <w:sz w:val="20"/>
        </w:rPr>
        <w:t> </w:t>
      </w:r>
      <w:r>
        <w:rPr>
          <w:i/>
          <w:sz w:val="20"/>
        </w:rPr>
        <w:t>a</w:t>
      </w:r>
      <w:r>
        <w:rPr>
          <w:i/>
          <w:spacing w:val="-5"/>
          <w:sz w:val="20"/>
        </w:rPr>
        <w:t> </w:t>
      </w:r>
      <w:r>
        <w:rPr>
          <w:i/>
          <w:sz w:val="20"/>
        </w:rPr>
        <w:t>funcionarios, personal laboral y</w:t>
      </w:r>
      <w:r>
        <w:rPr>
          <w:i/>
          <w:spacing w:val="-4"/>
          <w:sz w:val="20"/>
        </w:rPr>
        <w:t> </w:t>
      </w:r>
      <w:r>
        <w:rPr>
          <w:i/>
          <w:sz w:val="20"/>
        </w:rPr>
        <w:t>eventual.</w:t>
      </w:r>
    </w:p>
    <w:p>
      <w:pPr>
        <w:pStyle w:val="BodyText"/>
        <w:rPr>
          <w:i/>
          <w:sz w:val="24"/>
        </w:rPr>
      </w:pPr>
    </w:p>
    <w:p>
      <w:pPr>
        <w:spacing w:line="242" w:lineRule="auto" w:before="0"/>
        <w:ind w:left="102" w:right="1713" w:hanging="1"/>
        <w:jc w:val="both"/>
        <w:rPr>
          <w:i/>
          <w:sz w:val="20"/>
        </w:rPr>
      </w:pPr>
      <w:r>
        <w:rPr>
          <w:i/>
          <w:sz w:val="20"/>
        </w:rPr>
        <w:t>Las plantillas deberán responder a los principios de racionalidad, economía y eficiencia y establecerse de acuerdo con la ordenación general de la economía, sin que los gastos de personal puedan rebasar los límites que se fijen con carácter general.”</w:t>
      </w:r>
    </w:p>
    <w:p>
      <w:pPr>
        <w:spacing w:after="0" w:line="242" w:lineRule="auto"/>
        <w:jc w:val="both"/>
        <w:rPr>
          <w:sz w:val="20"/>
        </w:rPr>
        <w:sectPr>
          <w:pgSz w:w="11900" w:h="16840"/>
          <w:pgMar w:header="696" w:footer="0" w:top="2480" w:bottom="280" w:left="800" w:right="0"/>
        </w:sectPr>
      </w:pPr>
    </w:p>
    <w:p>
      <w:pPr>
        <w:pStyle w:val="BodyText"/>
        <w:spacing w:before="4"/>
        <w:rPr>
          <w:i/>
          <w:sz w:val="16"/>
        </w:rPr>
      </w:pPr>
      <w:r>
        <w:rPr/>
        <w:pict>
          <v:line style="position:absolute;mso-position-horizontal-relative:page;mso-position-vertical-relative:page;z-index:251664384"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spacing w:line="168" w:lineRule="auto" w:before="173"/>
        <w:ind w:left="102" w:right="1630" w:firstLine="0"/>
        <w:jc w:val="left"/>
        <w:rPr>
          <w:i/>
          <w:sz w:val="20"/>
        </w:rPr>
      </w:pPr>
      <w:r>
        <w:rPr>
          <w:sz w:val="20"/>
        </w:rPr>
        <w:t>El mismo artículo 90 establece en su apartado segundo que </w:t>
      </w:r>
      <w:r>
        <w:rPr>
          <w:i/>
          <w:sz w:val="20"/>
        </w:rPr>
        <w:t>“Las Corporaciones locales formarán la relación de </w:t>
      </w:r>
      <w:r>
        <w:rPr>
          <w:i/>
          <w:spacing w:val="-1"/>
          <w:w w:val="99"/>
          <w:sz w:val="20"/>
        </w:rPr>
        <w:t>t</w:t>
      </w:r>
      <w:r>
        <w:rPr>
          <w:i/>
          <w:spacing w:val="1"/>
          <w:w w:val="99"/>
          <w:sz w:val="20"/>
        </w:rPr>
        <w:t>od</w:t>
      </w:r>
      <w:r>
        <w:rPr>
          <w:i/>
          <w:spacing w:val="-2"/>
          <w:w w:val="99"/>
          <w:sz w:val="20"/>
        </w:rPr>
        <w:t>o</w:t>
      </w:r>
      <w:r>
        <w:rPr>
          <w:i/>
          <w:w w:val="99"/>
          <w:sz w:val="20"/>
        </w:rPr>
        <w:t>s</w:t>
      </w:r>
      <w:r>
        <w:rPr>
          <w:spacing w:val="6"/>
          <w:sz w:val="20"/>
        </w:rPr>
        <w:t> </w:t>
      </w:r>
      <w:r>
        <w:rPr>
          <w:i/>
          <w:spacing w:val="-1"/>
          <w:w w:val="99"/>
          <w:sz w:val="20"/>
        </w:rPr>
        <w:t>l</w:t>
      </w:r>
      <w:r>
        <w:rPr>
          <w:i/>
          <w:spacing w:val="1"/>
          <w:w w:val="99"/>
          <w:sz w:val="20"/>
        </w:rPr>
        <w:t>o</w:t>
      </w:r>
      <w:r>
        <w:rPr>
          <w:rFonts w:ascii="Calibri" w:hAnsi="Calibri"/>
          <w:spacing w:val="-92"/>
          <w:w w:val="99"/>
          <w:position w:val="10"/>
          <w:sz w:val="20"/>
        </w:rPr>
        <w:t>F</w:t>
      </w:r>
      <w:r>
        <w:rPr>
          <w:i/>
          <w:spacing w:val="8"/>
          <w:w w:val="99"/>
          <w:sz w:val="20"/>
        </w:rPr>
        <w:t>s</w:t>
      </w:r>
      <w:r>
        <w:rPr>
          <w:rFonts w:ascii="Calibri" w:hAnsi="Calibri"/>
          <w:spacing w:val="-48"/>
          <w:w w:val="99"/>
          <w:position w:val="10"/>
          <w:sz w:val="20"/>
        </w:rPr>
        <w:t>a</w:t>
      </w:r>
      <w:r>
        <w:rPr>
          <w:i/>
          <w:spacing w:val="-54"/>
          <w:w w:val="99"/>
          <w:sz w:val="20"/>
        </w:rPr>
        <w:t>p</w:t>
      </w:r>
      <w:r>
        <w:rPr>
          <w:rFonts w:ascii="Calibri" w:hAnsi="Calibri"/>
          <w:spacing w:val="-32"/>
          <w:w w:val="99"/>
          <w:position w:val="10"/>
          <w:sz w:val="20"/>
        </w:rPr>
        <w:t>x</w:t>
      </w:r>
      <w:r>
        <w:rPr>
          <w:i/>
          <w:spacing w:val="-23"/>
          <w:w w:val="99"/>
          <w:sz w:val="20"/>
        </w:rPr>
        <w:t>u</w:t>
      </w:r>
      <w:r>
        <w:rPr>
          <w:rFonts w:ascii="Calibri" w:hAnsi="Calibri"/>
          <w:spacing w:val="-77"/>
          <w:w w:val="99"/>
          <w:position w:val="10"/>
          <w:sz w:val="20"/>
        </w:rPr>
        <w:t>9</w:t>
      </w:r>
      <w:r>
        <w:rPr>
          <w:i/>
          <w:spacing w:val="-12"/>
          <w:w w:val="99"/>
          <w:sz w:val="20"/>
        </w:rPr>
        <w:t>e</w:t>
      </w:r>
      <w:r>
        <w:rPr>
          <w:rFonts w:ascii="Calibri" w:hAnsi="Calibri"/>
          <w:spacing w:val="-89"/>
          <w:w w:val="99"/>
          <w:position w:val="10"/>
          <w:sz w:val="20"/>
        </w:rPr>
        <w:t>2</w:t>
      </w:r>
      <w:r>
        <w:rPr>
          <w:i/>
          <w:spacing w:val="-1"/>
          <w:w w:val="99"/>
          <w:sz w:val="20"/>
        </w:rPr>
        <w:t>s</w:t>
      </w:r>
      <w:r>
        <w:rPr>
          <w:i/>
          <w:spacing w:val="-44"/>
          <w:w w:val="99"/>
          <w:sz w:val="20"/>
        </w:rPr>
        <w:t>t</w:t>
      </w:r>
      <w:r>
        <w:rPr>
          <w:rFonts w:ascii="Calibri" w:hAnsi="Calibri"/>
          <w:spacing w:val="-58"/>
          <w:w w:val="99"/>
          <w:position w:val="10"/>
          <w:sz w:val="20"/>
        </w:rPr>
        <w:t>8</w:t>
      </w:r>
      <w:r>
        <w:rPr>
          <w:i/>
          <w:spacing w:val="-42"/>
          <w:w w:val="99"/>
          <w:sz w:val="20"/>
        </w:rPr>
        <w:t>o</w:t>
      </w:r>
      <w:r>
        <w:rPr>
          <w:rFonts w:ascii="Calibri" w:hAnsi="Calibri"/>
          <w:spacing w:val="-58"/>
          <w:w w:val="99"/>
          <w:position w:val="10"/>
          <w:sz w:val="20"/>
        </w:rPr>
        <w:t>8</w:t>
      </w:r>
      <w:r>
        <w:rPr>
          <w:i/>
          <w:spacing w:val="-18"/>
          <w:w w:val="99"/>
          <w:sz w:val="20"/>
        </w:rPr>
        <w:t>s</w:t>
      </w:r>
      <w:r>
        <w:rPr>
          <w:rFonts w:ascii="Calibri" w:hAnsi="Calibri"/>
          <w:spacing w:val="-27"/>
          <w:w w:val="99"/>
          <w:position w:val="10"/>
          <w:sz w:val="20"/>
        </w:rPr>
        <w:t>3</w:t>
      </w:r>
      <w:r>
        <w:rPr>
          <w:i/>
          <w:spacing w:val="-74"/>
          <w:w w:val="99"/>
          <w:sz w:val="20"/>
        </w:rPr>
        <w:t>d</w:t>
      </w:r>
      <w:r>
        <w:rPr>
          <w:rFonts w:ascii="Calibri" w:hAnsi="Calibri"/>
          <w:spacing w:val="-27"/>
          <w:w w:val="99"/>
          <w:position w:val="10"/>
          <w:sz w:val="20"/>
        </w:rPr>
        <w:t>3</w:t>
      </w:r>
      <w:r>
        <w:rPr>
          <w:i/>
          <w:spacing w:val="-62"/>
          <w:w w:val="99"/>
          <w:sz w:val="20"/>
        </w:rPr>
        <w:t>e</w:t>
      </w:r>
      <w:r>
        <w:rPr>
          <w:rFonts w:ascii="Calibri" w:hAnsi="Calibri"/>
          <w:spacing w:val="-1"/>
          <w:w w:val="99"/>
          <w:position w:val="10"/>
          <w:sz w:val="20"/>
        </w:rPr>
        <w:t>5</w:t>
      </w:r>
      <w:r>
        <w:rPr>
          <w:rFonts w:ascii="Calibri" w:hAnsi="Calibri"/>
          <w:spacing w:val="-82"/>
          <w:w w:val="99"/>
          <w:position w:val="10"/>
          <w:sz w:val="20"/>
        </w:rPr>
        <w:t>4</w:t>
      </w:r>
      <w:r>
        <w:rPr>
          <w:i/>
          <w:spacing w:val="-1"/>
          <w:w w:val="99"/>
          <w:sz w:val="20"/>
        </w:rPr>
        <w:t>t</w:t>
      </w:r>
      <w:r>
        <w:rPr>
          <w:i/>
          <w:spacing w:val="-52"/>
          <w:w w:val="99"/>
          <w:sz w:val="20"/>
        </w:rPr>
        <w:t>r</w:t>
      </w:r>
      <w:r>
        <w:rPr>
          <w:rFonts w:ascii="Calibri" w:hAnsi="Calibri"/>
          <w:spacing w:val="-51"/>
          <w:w w:val="99"/>
          <w:position w:val="10"/>
          <w:sz w:val="20"/>
        </w:rPr>
        <w:t>9</w:t>
      </w:r>
      <w:r>
        <w:rPr>
          <w:i/>
          <w:spacing w:val="1"/>
          <w:w w:val="99"/>
          <w:sz w:val="20"/>
        </w:rPr>
        <w:t>a</w:t>
      </w:r>
      <w:r>
        <w:rPr>
          <w:i/>
          <w:spacing w:val="-2"/>
          <w:w w:val="99"/>
          <w:sz w:val="20"/>
        </w:rPr>
        <w:t>b</w:t>
      </w:r>
      <w:r>
        <w:rPr>
          <w:i/>
          <w:spacing w:val="1"/>
          <w:w w:val="99"/>
          <w:sz w:val="20"/>
        </w:rPr>
        <w:t>a</w:t>
      </w:r>
      <w:r>
        <w:rPr>
          <w:i/>
          <w:spacing w:val="-1"/>
          <w:w w:val="99"/>
          <w:sz w:val="20"/>
        </w:rPr>
        <w:t>j</w:t>
      </w:r>
      <w:r>
        <w:rPr>
          <w:i/>
          <w:w w:val="99"/>
          <w:sz w:val="20"/>
        </w:rPr>
        <w:t>o</w:t>
      </w:r>
      <w:r>
        <w:rPr>
          <w:spacing w:val="6"/>
          <w:sz w:val="20"/>
        </w:rPr>
        <w:t> </w:t>
      </w:r>
      <w:r>
        <w:rPr>
          <w:i/>
          <w:w w:val="99"/>
          <w:sz w:val="20"/>
        </w:rPr>
        <w:t>e</w:t>
      </w:r>
      <w:r>
        <w:rPr>
          <w:i/>
          <w:spacing w:val="2"/>
          <w:w w:val="99"/>
          <w:sz w:val="20"/>
        </w:rPr>
        <w:t>x</w:t>
      </w:r>
      <w:r>
        <w:rPr>
          <w:i/>
          <w:spacing w:val="-1"/>
          <w:w w:val="99"/>
          <w:sz w:val="20"/>
        </w:rPr>
        <w:t>ist</w:t>
      </w:r>
      <w:r>
        <w:rPr>
          <w:i/>
          <w:w w:val="99"/>
          <w:sz w:val="20"/>
        </w:rPr>
        <w:t>e</w:t>
      </w:r>
      <w:r>
        <w:rPr>
          <w:i/>
          <w:spacing w:val="1"/>
          <w:w w:val="99"/>
          <w:sz w:val="20"/>
        </w:rPr>
        <w:t>n</w:t>
      </w:r>
      <w:r>
        <w:rPr>
          <w:i/>
          <w:spacing w:val="-1"/>
          <w:w w:val="99"/>
          <w:sz w:val="20"/>
        </w:rPr>
        <w:t>t</w:t>
      </w:r>
      <w:r>
        <w:rPr>
          <w:i/>
          <w:w w:val="99"/>
          <w:sz w:val="20"/>
        </w:rPr>
        <w:t>es</w:t>
      </w:r>
      <w:r>
        <w:rPr>
          <w:spacing w:val="6"/>
          <w:sz w:val="20"/>
        </w:rPr>
        <w:t> </w:t>
      </w:r>
      <w:r>
        <w:rPr>
          <w:i/>
          <w:w w:val="99"/>
          <w:sz w:val="20"/>
        </w:rPr>
        <w:t>en</w:t>
      </w:r>
      <w:r>
        <w:rPr>
          <w:spacing w:val="8"/>
          <w:sz w:val="20"/>
        </w:rPr>
        <w:t> </w:t>
      </w:r>
      <w:r>
        <w:rPr>
          <w:i/>
          <w:spacing w:val="-1"/>
          <w:w w:val="99"/>
          <w:sz w:val="20"/>
        </w:rPr>
        <w:t>s</w:t>
      </w:r>
      <w:r>
        <w:rPr>
          <w:i/>
          <w:w w:val="99"/>
          <w:sz w:val="20"/>
        </w:rPr>
        <w:t>u</w:t>
      </w:r>
      <w:r>
        <w:rPr>
          <w:spacing w:val="8"/>
          <w:sz w:val="20"/>
        </w:rPr>
        <w:t> </w:t>
      </w:r>
      <w:r>
        <w:rPr>
          <w:i/>
          <w:spacing w:val="-2"/>
          <w:w w:val="99"/>
          <w:sz w:val="20"/>
        </w:rPr>
        <w:t>o</w:t>
      </w:r>
      <w:r>
        <w:rPr>
          <w:i/>
          <w:spacing w:val="-6"/>
          <w:w w:val="99"/>
          <w:sz w:val="20"/>
        </w:rPr>
        <w:t>r</w:t>
      </w:r>
      <w:r>
        <w:rPr>
          <w:i/>
          <w:spacing w:val="-2"/>
          <w:w w:val="99"/>
          <w:sz w:val="20"/>
        </w:rPr>
        <w:t>g</w:t>
      </w:r>
      <w:r>
        <w:rPr>
          <w:i/>
          <w:spacing w:val="1"/>
          <w:w w:val="99"/>
          <w:sz w:val="20"/>
        </w:rPr>
        <w:t>an</w:t>
      </w:r>
      <w:r>
        <w:rPr>
          <w:i/>
          <w:spacing w:val="-3"/>
          <w:w w:val="99"/>
          <w:sz w:val="20"/>
        </w:rPr>
        <w:t>i</w:t>
      </w:r>
      <w:r>
        <w:rPr>
          <w:i/>
          <w:spacing w:val="1"/>
          <w:w w:val="99"/>
          <w:sz w:val="20"/>
        </w:rPr>
        <w:t>za</w:t>
      </w:r>
      <w:r>
        <w:rPr>
          <w:i/>
          <w:w w:val="99"/>
          <w:sz w:val="20"/>
        </w:rPr>
        <w:t>c</w:t>
      </w:r>
      <w:r>
        <w:rPr>
          <w:i/>
          <w:spacing w:val="-1"/>
          <w:w w:val="99"/>
          <w:sz w:val="20"/>
        </w:rPr>
        <w:t>i</w:t>
      </w:r>
      <w:r>
        <w:rPr>
          <w:i/>
          <w:spacing w:val="1"/>
          <w:w w:val="99"/>
          <w:sz w:val="20"/>
        </w:rPr>
        <w:t>ó</w:t>
      </w:r>
      <w:r>
        <w:rPr>
          <w:i/>
          <w:spacing w:val="-2"/>
          <w:w w:val="99"/>
          <w:sz w:val="20"/>
        </w:rPr>
        <w:t>n</w:t>
      </w:r>
      <w:r>
        <w:rPr>
          <w:i/>
          <w:w w:val="99"/>
          <w:sz w:val="20"/>
        </w:rPr>
        <w:t>,</w:t>
      </w:r>
      <w:r>
        <w:rPr>
          <w:spacing w:val="8"/>
          <w:sz w:val="20"/>
        </w:rPr>
        <w:t> </w:t>
      </w:r>
      <w:r>
        <w:rPr>
          <w:i/>
          <w:w w:val="99"/>
          <w:sz w:val="20"/>
        </w:rPr>
        <w:t>en</w:t>
      </w:r>
      <w:r>
        <w:rPr>
          <w:spacing w:val="6"/>
          <w:sz w:val="20"/>
        </w:rPr>
        <w:t> </w:t>
      </w:r>
      <w:r>
        <w:rPr>
          <w:i/>
          <w:spacing w:val="-1"/>
          <w:w w:val="99"/>
          <w:sz w:val="20"/>
        </w:rPr>
        <w:t>l</w:t>
      </w:r>
      <w:r>
        <w:rPr>
          <w:i/>
          <w:spacing w:val="1"/>
          <w:w w:val="99"/>
          <w:sz w:val="20"/>
        </w:rPr>
        <w:t>o</w:t>
      </w:r>
      <w:r>
        <w:rPr>
          <w:i/>
          <w:w w:val="99"/>
          <w:sz w:val="20"/>
        </w:rPr>
        <w:t>s</w:t>
      </w:r>
      <w:r>
        <w:rPr>
          <w:spacing w:val="6"/>
          <w:sz w:val="20"/>
        </w:rPr>
        <w:t> </w:t>
      </w:r>
      <w:r>
        <w:rPr>
          <w:i/>
          <w:spacing w:val="-1"/>
          <w:w w:val="99"/>
          <w:sz w:val="20"/>
        </w:rPr>
        <w:t>t</w:t>
      </w:r>
      <w:r>
        <w:rPr>
          <w:i/>
          <w:w w:val="99"/>
          <w:sz w:val="20"/>
        </w:rPr>
        <w:t>é</w:t>
      </w:r>
      <w:r>
        <w:rPr>
          <w:i/>
          <w:spacing w:val="1"/>
          <w:w w:val="99"/>
          <w:sz w:val="20"/>
        </w:rPr>
        <w:t>r</w:t>
      </w:r>
      <w:r>
        <w:rPr>
          <w:i/>
          <w:w w:val="99"/>
          <w:sz w:val="20"/>
        </w:rPr>
        <w:t>m</w:t>
      </w:r>
      <w:r>
        <w:rPr>
          <w:i/>
          <w:spacing w:val="-1"/>
          <w:w w:val="99"/>
          <w:sz w:val="20"/>
        </w:rPr>
        <w:t>i</w:t>
      </w:r>
      <w:r>
        <w:rPr>
          <w:i/>
          <w:spacing w:val="1"/>
          <w:w w:val="99"/>
          <w:sz w:val="20"/>
        </w:rPr>
        <w:t>n</w:t>
      </w:r>
      <w:r>
        <w:rPr>
          <w:i/>
          <w:spacing w:val="-2"/>
          <w:w w:val="99"/>
          <w:sz w:val="20"/>
        </w:rPr>
        <w:t>o</w:t>
      </w:r>
      <w:r>
        <w:rPr>
          <w:i/>
          <w:w w:val="99"/>
          <w:sz w:val="20"/>
        </w:rPr>
        <w:t>s</w:t>
      </w:r>
      <w:r>
        <w:rPr>
          <w:spacing w:val="9"/>
          <w:sz w:val="20"/>
        </w:rPr>
        <w:t> </w:t>
      </w:r>
      <w:r>
        <w:rPr>
          <w:i/>
          <w:spacing w:val="-2"/>
          <w:w w:val="99"/>
          <w:sz w:val="20"/>
        </w:rPr>
        <w:t>p</w:t>
      </w:r>
      <w:r>
        <w:rPr>
          <w:i/>
          <w:spacing w:val="-6"/>
          <w:w w:val="99"/>
          <w:sz w:val="20"/>
        </w:rPr>
        <w:t>r</w:t>
      </w:r>
      <w:r>
        <w:rPr>
          <w:i/>
          <w:w w:val="99"/>
          <w:sz w:val="20"/>
        </w:rPr>
        <w:t>ev</w:t>
      </w:r>
      <w:r>
        <w:rPr>
          <w:i/>
          <w:spacing w:val="-1"/>
          <w:w w:val="99"/>
          <w:sz w:val="20"/>
        </w:rPr>
        <w:t>ist</w:t>
      </w:r>
      <w:r>
        <w:rPr>
          <w:i/>
          <w:spacing w:val="1"/>
          <w:w w:val="99"/>
          <w:sz w:val="20"/>
        </w:rPr>
        <w:t>o</w:t>
      </w:r>
      <w:r>
        <w:rPr>
          <w:i/>
          <w:w w:val="99"/>
          <w:sz w:val="20"/>
        </w:rPr>
        <w:t>s</w:t>
      </w:r>
      <w:r>
        <w:rPr>
          <w:spacing w:val="6"/>
          <w:sz w:val="20"/>
        </w:rPr>
        <w:t> </w:t>
      </w:r>
      <w:r>
        <w:rPr>
          <w:i/>
          <w:w w:val="99"/>
          <w:sz w:val="20"/>
        </w:rPr>
        <w:t>en</w:t>
      </w:r>
      <w:r>
        <w:rPr>
          <w:spacing w:val="6"/>
          <w:sz w:val="20"/>
        </w:rPr>
        <w:t> </w:t>
      </w:r>
      <w:r>
        <w:rPr>
          <w:i/>
          <w:spacing w:val="2"/>
          <w:w w:val="99"/>
          <w:sz w:val="20"/>
        </w:rPr>
        <w:t>l</w:t>
      </w:r>
      <w:r>
        <w:rPr>
          <w:i/>
          <w:w w:val="99"/>
          <w:sz w:val="20"/>
        </w:rPr>
        <w:t>a</w:t>
      </w:r>
      <w:r>
        <w:rPr>
          <w:spacing w:val="6"/>
          <w:sz w:val="20"/>
        </w:rPr>
        <w:t> </w:t>
      </w:r>
      <w:r>
        <w:rPr>
          <w:i/>
          <w:spacing w:val="-1"/>
          <w:w w:val="99"/>
          <w:sz w:val="20"/>
        </w:rPr>
        <w:t>l</w:t>
      </w:r>
      <w:r>
        <w:rPr>
          <w:i/>
          <w:w w:val="99"/>
          <w:sz w:val="20"/>
        </w:rPr>
        <w:t>e</w:t>
      </w:r>
      <w:r>
        <w:rPr>
          <w:i/>
          <w:spacing w:val="1"/>
          <w:w w:val="99"/>
          <w:sz w:val="20"/>
        </w:rPr>
        <w:t>g</w:t>
      </w:r>
      <w:r>
        <w:rPr>
          <w:i/>
          <w:spacing w:val="-1"/>
          <w:w w:val="99"/>
          <w:sz w:val="20"/>
        </w:rPr>
        <w:t>is</w:t>
      </w:r>
      <w:r>
        <w:rPr>
          <w:i/>
          <w:spacing w:val="2"/>
          <w:w w:val="99"/>
          <w:sz w:val="20"/>
        </w:rPr>
        <w:t>l</w:t>
      </w:r>
      <w:r>
        <w:rPr>
          <w:i/>
          <w:spacing w:val="-2"/>
          <w:w w:val="99"/>
          <w:sz w:val="20"/>
        </w:rPr>
        <w:t>a</w:t>
      </w:r>
      <w:r>
        <w:rPr>
          <w:i/>
          <w:w w:val="99"/>
          <w:sz w:val="20"/>
        </w:rPr>
        <w:t>c</w:t>
      </w:r>
      <w:r>
        <w:rPr>
          <w:i/>
          <w:spacing w:val="-1"/>
          <w:w w:val="99"/>
          <w:sz w:val="20"/>
        </w:rPr>
        <w:t>i</w:t>
      </w:r>
      <w:r>
        <w:rPr>
          <w:i/>
          <w:w w:val="99"/>
          <w:sz w:val="20"/>
        </w:rPr>
        <w:t>ón</w:t>
      </w:r>
      <w:r>
        <w:rPr>
          <w:spacing w:val="6"/>
          <w:sz w:val="20"/>
        </w:rPr>
        <w:t> </w:t>
      </w:r>
      <w:r>
        <w:rPr>
          <w:i/>
          <w:spacing w:val="1"/>
          <w:w w:val="99"/>
          <w:sz w:val="20"/>
        </w:rPr>
        <w:t>bá</w:t>
      </w:r>
      <w:r>
        <w:rPr>
          <w:i/>
          <w:spacing w:val="-1"/>
          <w:w w:val="99"/>
          <w:sz w:val="20"/>
        </w:rPr>
        <w:t>s</w:t>
      </w:r>
      <w:r>
        <w:rPr>
          <w:i/>
          <w:spacing w:val="2"/>
          <w:w w:val="99"/>
          <w:sz w:val="20"/>
        </w:rPr>
        <w:t>i</w:t>
      </w:r>
      <w:r>
        <w:rPr>
          <w:i/>
          <w:spacing w:val="-2"/>
          <w:w w:val="99"/>
          <w:sz w:val="20"/>
        </w:rPr>
        <w:t>c</w:t>
      </w:r>
      <w:r>
        <w:rPr>
          <w:i/>
          <w:w w:val="99"/>
          <w:sz w:val="20"/>
        </w:rPr>
        <w:t>a</w:t>
      </w:r>
      <w:r>
        <w:rPr>
          <w:spacing w:val="8"/>
          <w:sz w:val="20"/>
        </w:rPr>
        <w:t> </w:t>
      </w:r>
      <w:r>
        <w:rPr>
          <w:i/>
          <w:spacing w:val="-1"/>
          <w:w w:val="99"/>
          <w:sz w:val="20"/>
        </w:rPr>
        <w:t>s</w:t>
      </w:r>
      <w:r>
        <w:rPr>
          <w:i/>
          <w:spacing w:val="1"/>
          <w:w w:val="99"/>
          <w:sz w:val="20"/>
        </w:rPr>
        <w:t>o</w:t>
      </w:r>
      <w:r>
        <w:rPr>
          <w:i/>
          <w:spacing w:val="-2"/>
          <w:w w:val="99"/>
          <w:sz w:val="20"/>
        </w:rPr>
        <w:t>b</w:t>
      </w:r>
      <w:r>
        <w:rPr>
          <w:i/>
          <w:spacing w:val="-6"/>
          <w:w w:val="99"/>
          <w:sz w:val="20"/>
        </w:rPr>
        <w:t>r</w:t>
      </w:r>
      <w:r>
        <w:rPr>
          <w:i/>
          <w:w w:val="99"/>
          <w:sz w:val="20"/>
        </w:rPr>
        <w:t>e</w:t>
      </w:r>
    </w:p>
    <w:p>
      <w:pPr>
        <w:pStyle w:val="BodyText"/>
        <w:spacing w:line="216" w:lineRule="exact"/>
        <w:ind w:left="102"/>
      </w:pPr>
      <w:r>
        <w:rPr>
          <w:i/>
        </w:rPr>
        <w:t>función</w:t>
      </w:r>
      <w:r>
        <w:rPr>
          <w:i/>
          <w:spacing w:val="20"/>
        </w:rPr>
        <w:t> </w:t>
      </w:r>
      <w:r>
        <w:rPr>
          <w:i/>
        </w:rPr>
        <w:t>pública”</w:t>
      </w:r>
      <w:r>
        <w:rPr/>
        <w:t>,</w:t>
      </w:r>
      <w:r>
        <w:rPr>
          <w:spacing w:val="19"/>
        </w:rPr>
        <w:t> </w:t>
      </w:r>
      <w:r>
        <w:rPr/>
        <w:t>siendo</w:t>
      </w:r>
      <w:r>
        <w:rPr>
          <w:spacing w:val="20"/>
        </w:rPr>
        <w:t> </w:t>
      </w:r>
      <w:r>
        <w:rPr/>
        <w:t>el</w:t>
      </w:r>
      <w:r>
        <w:rPr>
          <w:spacing w:val="18"/>
        </w:rPr>
        <w:t> </w:t>
      </w:r>
      <w:r>
        <w:rPr/>
        <w:t>artículo</w:t>
      </w:r>
      <w:r>
        <w:rPr>
          <w:spacing w:val="20"/>
        </w:rPr>
        <w:t> </w:t>
      </w:r>
      <w:r>
        <w:rPr/>
        <w:t>74</w:t>
      </w:r>
      <w:r>
        <w:rPr>
          <w:spacing w:val="20"/>
        </w:rPr>
        <w:t> </w:t>
      </w:r>
      <w:r>
        <w:rPr/>
        <w:t>de</w:t>
      </w:r>
      <w:r>
        <w:rPr>
          <w:spacing w:val="19"/>
        </w:rPr>
        <w:t> </w:t>
      </w:r>
      <w:r>
        <w:rPr/>
        <w:t>la</w:t>
      </w:r>
      <w:r>
        <w:rPr>
          <w:spacing w:val="19"/>
        </w:rPr>
        <w:t> </w:t>
      </w:r>
      <w:r>
        <w:rPr/>
        <w:t>Ley</w:t>
      </w:r>
      <w:r>
        <w:rPr>
          <w:spacing w:val="20"/>
        </w:rPr>
        <w:t> </w:t>
      </w:r>
      <w:r>
        <w:rPr/>
        <w:t>7/2007,</w:t>
      </w:r>
      <w:r>
        <w:rPr>
          <w:spacing w:val="19"/>
        </w:rPr>
        <w:t> </w:t>
      </w:r>
      <w:r>
        <w:rPr/>
        <w:t>de</w:t>
      </w:r>
      <w:r>
        <w:rPr>
          <w:spacing w:val="21"/>
        </w:rPr>
        <w:t> </w:t>
      </w:r>
      <w:r>
        <w:rPr/>
        <w:t>12</w:t>
      </w:r>
      <w:r>
        <w:rPr>
          <w:spacing w:val="20"/>
        </w:rPr>
        <w:t> </w:t>
      </w:r>
      <w:r>
        <w:rPr/>
        <w:t>de</w:t>
      </w:r>
      <w:r>
        <w:rPr>
          <w:spacing w:val="18"/>
        </w:rPr>
        <w:t> </w:t>
      </w:r>
      <w:r>
        <w:rPr/>
        <w:t>abril,</w:t>
      </w:r>
      <w:r>
        <w:rPr>
          <w:spacing w:val="19"/>
        </w:rPr>
        <w:t> </w:t>
      </w:r>
      <w:r>
        <w:rPr/>
        <w:t>mediante</w:t>
      </w:r>
      <w:r>
        <w:rPr>
          <w:spacing w:val="19"/>
        </w:rPr>
        <w:t> </w:t>
      </w:r>
      <w:r>
        <w:rPr/>
        <w:t>la</w:t>
      </w:r>
      <w:r>
        <w:rPr>
          <w:spacing w:val="19"/>
        </w:rPr>
        <w:t> </w:t>
      </w:r>
      <w:r>
        <w:rPr/>
        <w:t>que</w:t>
      </w:r>
      <w:r>
        <w:rPr>
          <w:spacing w:val="19"/>
        </w:rPr>
        <w:t> </w:t>
      </w:r>
      <w:r>
        <w:rPr/>
        <w:t>se</w:t>
      </w:r>
      <w:r>
        <w:rPr>
          <w:spacing w:val="19"/>
        </w:rPr>
        <w:t> </w:t>
      </w:r>
      <w:r>
        <w:rPr/>
        <w:t>aprueba</w:t>
      </w:r>
      <w:r>
        <w:rPr>
          <w:spacing w:val="19"/>
        </w:rPr>
        <w:t> </w:t>
      </w:r>
      <w:r>
        <w:rPr/>
        <w:t>el</w:t>
      </w:r>
      <w:r>
        <w:rPr>
          <w:spacing w:val="21"/>
        </w:rPr>
        <w:t> </w:t>
      </w:r>
      <w:r>
        <w:rPr/>
        <w:t>Estatuto</w:t>
      </w:r>
    </w:p>
    <w:p>
      <w:pPr>
        <w:pStyle w:val="BodyText"/>
        <w:ind w:left="102"/>
      </w:pPr>
      <w:r>
        <w:rPr/>
        <w:t>Básico del Empleado Público el que regula tal figura.</w:t>
      </w:r>
    </w:p>
    <w:p>
      <w:pPr>
        <w:pStyle w:val="BodyText"/>
        <w:rPr>
          <w:sz w:val="22"/>
        </w:rPr>
      </w:pPr>
    </w:p>
    <w:p>
      <w:pPr>
        <w:pStyle w:val="BodyText"/>
        <w:spacing w:before="10"/>
        <w:rPr>
          <w:sz w:val="26"/>
        </w:rPr>
      </w:pPr>
    </w:p>
    <w:p>
      <w:pPr>
        <w:pStyle w:val="BodyText"/>
        <w:ind w:left="102" w:right="1630"/>
      </w:pPr>
      <w:r>
        <w:rPr/>
        <w:t>En el Ayuntamiento de Tías no existe una Relación de Puestos de Trabajo, incumpliéndose así la obligación antes transcrita.</w:t>
      </w:r>
    </w:p>
    <w:p>
      <w:pPr>
        <w:pStyle w:val="BodyText"/>
        <w:spacing w:before="6"/>
        <w:rPr>
          <w:sz w:val="24"/>
        </w:rPr>
      </w:pPr>
    </w:p>
    <w:p>
      <w:pPr>
        <w:pStyle w:val="BodyText"/>
        <w:ind w:left="102" w:right="1691"/>
        <w:jc w:val="both"/>
      </w:pPr>
      <w:r>
        <w:rPr/>
        <w:t>De conformidad con lo indicado al respecto en el artículo 168.1.c) del TRLRHL, el Presupuesto contiene el Anexo de Personal de la Entidad Local. No queda constancia de que se cumpla con lo dispuesto por el artículo 126.1 del RDL 781/1986, ya que no constan los antecedentes, estudios ni documentos unidos a la plantilla que acrediten que responden a los principios de racionalidad, economía y eficacia, ni que haya sido establecida la organización del personal de acuerdo con los principios anteriormente mencionados, según establece el citado artículo 90.1 de la LRBRL. Si bien lo cierto es que la plantilla se encuentra en un gran inmovilismo desde hace años debido a las restricciones impuestas por el Estado tanto para la creación como para la provisión de puestos. También es cierto que sí responden a dichos principios la creación de las pocas plazas que se permiten así como las amortizaciones que se van llevando a cabo en los últimos</w:t>
      </w:r>
      <w:r>
        <w:rPr>
          <w:spacing w:val="-4"/>
        </w:rPr>
        <w:t> </w:t>
      </w:r>
      <w:r>
        <w:rPr/>
        <w:t>años.</w:t>
      </w:r>
    </w:p>
    <w:p>
      <w:pPr>
        <w:pStyle w:val="BodyText"/>
        <w:spacing w:before="9"/>
      </w:pPr>
    </w:p>
    <w:p>
      <w:pPr>
        <w:pStyle w:val="BodyText"/>
        <w:ind w:left="102" w:right="1692"/>
        <w:jc w:val="both"/>
      </w:pPr>
      <w:r>
        <w:rPr/>
        <w:t>Señalar que en tanto la última población del municipio aprobada asciende a más de 20.000 habitantes el límite de asesores es 7 de acuerdo con la Ley 27/2013 de Racionalización. De la misma manera se ha pasado de 17 a 21 concejales con lo que se prevé la partida de retribuciones de órganos de gobierno conforme a dicho incremento. Igualmente sucede con la partida de indemnizaciones de miembros de la corporación por asistencia a órganos colegiados.</w:t>
      </w:r>
    </w:p>
    <w:p>
      <w:pPr>
        <w:pStyle w:val="BodyText"/>
        <w:spacing w:before="7"/>
      </w:pPr>
    </w:p>
    <w:p>
      <w:pPr>
        <w:pStyle w:val="BodyText"/>
        <w:ind w:left="102" w:right="1742"/>
      </w:pPr>
      <w:r>
        <w:rPr/>
        <w:t>Informar en lo relativo a productividades y gratificaciones que las mismas se han visto minoradas de conformidad al Decreto 8/2010, mas respecto de las </w:t>
      </w:r>
      <w:r>
        <w:rPr>
          <w:b/>
        </w:rPr>
        <w:t>productividades </w:t>
      </w:r>
      <w:r>
        <w:rPr/>
        <w:t>se informa que no se han</w:t>
      </w:r>
      <w:r>
        <w:rPr>
          <w:spacing w:val="-11"/>
        </w:rPr>
        <w:t> </w:t>
      </w:r>
      <w:r>
        <w:rPr/>
        <w:t>previsto.</w:t>
      </w:r>
    </w:p>
    <w:p>
      <w:pPr>
        <w:pStyle w:val="BodyText"/>
        <w:spacing w:before="4"/>
      </w:pPr>
    </w:p>
    <w:p>
      <w:pPr>
        <w:pStyle w:val="BodyText"/>
        <w:ind w:left="102" w:right="1690"/>
        <w:jc w:val="both"/>
      </w:pPr>
      <w:r>
        <w:rPr/>
        <w:t>Se observa mantenimiento en 205.000 euros después de un aumento de 175.000 euros en gratificaciones respecto 2022 para la policía que vuelve a incrementarse de forma exponencial tras su práctica supresión con motivo del nuevo calendario negociado para 2020. Era especialmente alta desde el año 2013 hasta alcanzarse un volumen de en torno a 300.000 euros durante el año 2019 respecto a lo cual cabe señalar que frente a la nómina de noviembre se emitió por esta Intervención informe de reparo 10-19. Al respecto cabe indicar que se deberá cumplir y comprobar el cumplimiento del cómputo anual de horas realizadas por los agentes para que así pueda quedar justificado la consideración de extraordinarias de las horas que pretendan abonarse como tales. Por ello se ha formulado el informe de reparo 2-23 respecto de dichas horas extra. Señalar que en el año 2023 el abono de las mismas ascendió a la cantidad de 150.000 euros, frente a los 78.000 euros de</w:t>
      </w:r>
      <w:r>
        <w:rPr>
          <w:spacing w:val="-9"/>
        </w:rPr>
        <w:t> </w:t>
      </w:r>
      <w:r>
        <w:rPr/>
        <w:t>2021.</w:t>
      </w:r>
    </w:p>
    <w:p>
      <w:pPr>
        <w:pStyle w:val="BodyText"/>
        <w:rPr>
          <w:sz w:val="22"/>
        </w:rPr>
      </w:pPr>
    </w:p>
    <w:p>
      <w:pPr>
        <w:pStyle w:val="BodyText"/>
        <w:rPr>
          <w:sz w:val="22"/>
        </w:rPr>
      </w:pPr>
    </w:p>
    <w:p>
      <w:pPr>
        <w:pStyle w:val="BodyText"/>
        <w:spacing w:before="5"/>
      </w:pPr>
    </w:p>
    <w:p>
      <w:pPr>
        <w:pStyle w:val="Heading2"/>
        <w:numPr>
          <w:ilvl w:val="1"/>
          <w:numId w:val="5"/>
        </w:numPr>
        <w:tabs>
          <w:tab w:pos="1219" w:val="left" w:leader="none"/>
        </w:tabs>
        <w:spacing w:line="240" w:lineRule="auto" w:before="0" w:after="0"/>
        <w:ind w:left="1218" w:right="0" w:hanging="397"/>
        <w:jc w:val="left"/>
      </w:pPr>
      <w:r>
        <w:rPr/>
        <w:t>GASTOS</w:t>
      </w:r>
      <w:r>
        <w:rPr>
          <w:spacing w:val="-1"/>
        </w:rPr>
        <w:t> </w:t>
      </w:r>
      <w:r>
        <w:rPr/>
        <w:t>CORRIENTES</w:t>
      </w:r>
    </w:p>
    <w:p>
      <w:pPr>
        <w:pStyle w:val="BodyText"/>
        <w:rPr>
          <w:b/>
        </w:rPr>
      </w:pPr>
    </w:p>
    <w:p>
      <w:pPr>
        <w:pStyle w:val="BodyText"/>
        <w:spacing w:before="1"/>
        <w:ind w:left="102"/>
      </w:pPr>
      <w:r>
        <w:rPr/>
        <w:t>En relación con los gastos del Capítulo 2, debe mencionarse lo siguiente:</w:t>
      </w:r>
    </w:p>
    <w:p>
      <w:pPr>
        <w:pStyle w:val="BodyText"/>
        <w:spacing w:before="8"/>
        <w:rPr>
          <w:sz w:val="30"/>
        </w:rPr>
      </w:pPr>
    </w:p>
    <w:p>
      <w:pPr>
        <w:pStyle w:val="ListParagraph"/>
        <w:numPr>
          <w:ilvl w:val="0"/>
          <w:numId w:val="6"/>
        </w:numPr>
        <w:tabs>
          <w:tab w:pos="552" w:val="left" w:leader="none"/>
        </w:tabs>
        <w:spacing w:line="240" w:lineRule="auto" w:before="0" w:after="0"/>
        <w:ind w:left="551" w:right="1691" w:hanging="449"/>
        <w:jc w:val="both"/>
        <w:rPr>
          <w:sz w:val="20"/>
        </w:rPr>
      </w:pPr>
      <w:r>
        <w:rPr>
          <w:sz w:val="20"/>
        </w:rPr>
        <w:t>La necesidad de sacar a licitación de diversos servicios que por cuantía le corresponde, tal y como son el de socorrismo o publicidad y propaganda… Ello supondría un abaratamiento del gasto corriente. En lo que se refiere al de recogida de basuras e iluminación y sonido, suministro de energía, telefonía y ferretería, los mismos sí se han licitado y tienen contrato</w:t>
      </w:r>
      <w:r>
        <w:rPr>
          <w:spacing w:val="-2"/>
          <w:sz w:val="20"/>
        </w:rPr>
        <w:t> </w:t>
      </w:r>
      <w:r>
        <w:rPr>
          <w:sz w:val="20"/>
        </w:rPr>
        <w:t>vigente.</w:t>
      </w:r>
    </w:p>
    <w:p>
      <w:pPr>
        <w:pStyle w:val="BodyText"/>
        <w:spacing w:before="124"/>
        <w:ind w:left="551" w:right="1701"/>
        <w:jc w:val="both"/>
      </w:pPr>
      <w:r>
        <w:rPr/>
        <w:t>Al respecto señalar el gasto totalmente descontrolado y que ha duplicado la previsión contractual y presupuestaria en el servicio de iluminación y sonido, siendo objeto de reparo e informándose de la necesidad inmediata de poner orden en dicha prestación.</w:t>
      </w:r>
    </w:p>
    <w:p>
      <w:pPr>
        <w:spacing w:after="0"/>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6432"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ListParagraph"/>
        <w:numPr>
          <w:ilvl w:val="0"/>
          <w:numId w:val="6"/>
        </w:numPr>
        <w:tabs>
          <w:tab w:pos="552" w:val="left" w:leader="none"/>
        </w:tabs>
        <w:spacing w:line="168" w:lineRule="auto" w:before="173" w:after="0"/>
        <w:ind w:left="551" w:right="1699" w:hanging="449"/>
        <w:jc w:val="both"/>
        <w:rPr>
          <w:sz w:val="20"/>
        </w:rPr>
      </w:pPr>
      <w:r>
        <w:rPr>
          <w:sz w:val="20"/>
        </w:rPr>
        <w:t>La determinación de los extremos seguidos a la hora de presupuestar los créditos para gastos aparecen </w:t>
      </w:r>
      <w:r>
        <w:rPr>
          <w:spacing w:val="-2"/>
          <w:w w:val="99"/>
          <w:sz w:val="20"/>
        </w:rPr>
        <w:t>d</w:t>
      </w:r>
      <w:r>
        <w:rPr>
          <w:w w:val="99"/>
          <w:sz w:val="20"/>
        </w:rPr>
        <w:t>e</w:t>
      </w:r>
      <w:r>
        <w:rPr>
          <w:spacing w:val="-46"/>
          <w:w w:val="99"/>
          <w:sz w:val="20"/>
        </w:rPr>
        <w:t>t</w:t>
      </w:r>
      <w:r>
        <w:rPr>
          <w:rFonts w:ascii="Calibri" w:hAnsi="Calibri"/>
          <w:spacing w:val="-46"/>
          <w:w w:val="99"/>
          <w:position w:val="10"/>
          <w:sz w:val="20"/>
        </w:rPr>
        <w:t>F</w:t>
      </w:r>
      <w:r>
        <w:rPr>
          <w:spacing w:val="-48"/>
          <w:w w:val="99"/>
          <w:sz w:val="20"/>
        </w:rPr>
        <w:t>a</w:t>
      </w:r>
      <w:r>
        <w:rPr>
          <w:rFonts w:ascii="Calibri" w:hAnsi="Calibri"/>
          <w:spacing w:val="-48"/>
          <w:w w:val="99"/>
          <w:position w:val="10"/>
          <w:sz w:val="20"/>
        </w:rPr>
        <w:t>a</w:t>
      </w:r>
      <w:r>
        <w:rPr>
          <w:spacing w:val="-10"/>
          <w:w w:val="99"/>
          <w:sz w:val="20"/>
        </w:rPr>
        <w:t>l</w:t>
      </w:r>
      <w:r>
        <w:rPr>
          <w:rFonts w:ascii="Calibri" w:hAnsi="Calibri"/>
          <w:spacing w:val="-75"/>
          <w:w w:val="99"/>
          <w:position w:val="10"/>
          <w:sz w:val="20"/>
        </w:rPr>
        <w:t>x</w:t>
      </w:r>
      <w:r>
        <w:rPr>
          <w:spacing w:val="-1"/>
          <w:w w:val="99"/>
          <w:sz w:val="20"/>
        </w:rPr>
        <w:t>l</w:t>
      </w:r>
      <w:r>
        <w:rPr>
          <w:spacing w:val="-24"/>
          <w:w w:val="99"/>
          <w:sz w:val="20"/>
        </w:rPr>
        <w:t>a</w:t>
      </w:r>
      <w:r>
        <w:rPr>
          <w:rFonts w:ascii="Calibri" w:hAnsi="Calibri"/>
          <w:spacing w:val="-77"/>
          <w:w w:val="99"/>
          <w:position w:val="10"/>
          <w:sz w:val="20"/>
        </w:rPr>
        <w:t>9</w:t>
      </w:r>
      <w:r>
        <w:rPr>
          <w:spacing w:val="-23"/>
          <w:w w:val="99"/>
          <w:sz w:val="20"/>
        </w:rPr>
        <w:t>d</w:t>
      </w:r>
      <w:r>
        <w:rPr>
          <w:rFonts w:ascii="Calibri" w:hAnsi="Calibri"/>
          <w:spacing w:val="-80"/>
          <w:w w:val="99"/>
          <w:position w:val="10"/>
          <w:sz w:val="20"/>
        </w:rPr>
        <w:t>2</w:t>
      </w:r>
      <w:r>
        <w:rPr>
          <w:spacing w:val="-21"/>
          <w:w w:val="99"/>
          <w:sz w:val="20"/>
        </w:rPr>
        <w:t>o</w:t>
      </w:r>
      <w:r>
        <w:rPr>
          <w:rFonts w:ascii="Calibri" w:hAnsi="Calibri"/>
          <w:spacing w:val="-80"/>
          <w:w w:val="99"/>
          <w:position w:val="10"/>
          <w:sz w:val="20"/>
        </w:rPr>
        <w:t>8</w:t>
      </w:r>
      <w:r>
        <w:rPr>
          <w:spacing w:val="1"/>
          <w:w w:val="99"/>
          <w:sz w:val="20"/>
        </w:rPr>
        <w:t>s</w:t>
      </w:r>
      <w:r>
        <w:rPr>
          <w:rFonts w:ascii="Calibri" w:hAnsi="Calibri"/>
          <w:spacing w:val="-48"/>
          <w:w w:val="99"/>
          <w:position w:val="10"/>
          <w:sz w:val="20"/>
        </w:rPr>
        <w:t>8</w:t>
      </w:r>
      <w:r>
        <w:rPr>
          <w:spacing w:val="-39"/>
          <w:w w:val="99"/>
          <w:sz w:val="20"/>
        </w:rPr>
        <w:t>e</w:t>
      </w:r>
      <w:r>
        <w:rPr>
          <w:rFonts w:ascii="Calibri" w:hAnsi="Calibri"/>
          <w:spacing w:val="-63"/>
          <w:w w:val="99"/>
          <w:position w:val="10"/>
          <w:sz w:val="20"/>
        </w:rPr>
        <w:t>3</w:t>
      </w:r>
      <w:r>
        <w:rPr>
          <w:spacing w:val="-38"/>
          <w:w w:val="99"/>
          <w:sz w:val="20"/>
        </w:rPr>
        <w:t>n</w:t>
      </w:r>
      <w:r>
        <w:rPr>
          <w:rFonts w:ascii="Calibri" w:hAnsi="Calibri"/>
          <w:spacing w:val="-12"/>
          <w:w w:val="99"/>
          <w:position w:val="10"/>
          <w:sz w:val="20"/>
        </w:rPr>
        <w:t>3</w:t>
      </w:r>
      <w:r>
        <w:rPr>
          <w:spacing w:val="-77"/>
          <w:w w:val="99"/>
          <w:sz w:val="20"/>
        </w:rPr>
        <w:t>e</w:t>
      </w:r>
      <w:r>
        <w:rPr>
          <w:rFonts w:ascii="Calibri" w:hAnsi="Calibri"/>
          <w:spacing w:val="-22"/>
          <w:w w:val="99"/>
          <w:position w:val="10"/>
          <w:sz w:val="20"/>
        </w:rPr>
        <w:t>5</w:t>
      </w:r>
      <w:r>
        <w:rPr>
          <w:spacing w:val="-34"/>
          <w:w w:val="99"/>
          <w:sz w:val="20"/>
        </w:rPr>
        <w:t>l</w:t>
      </w:r>
      <w:r>
        <w:rPr>
          <w:rFonts w:ascii="Calibri" w:hAnsi="Calibri"/>
          <w:spacing w:val="-15"/>
          <w:w w:val="99"/>
          <w:position w:val="10"/>
          <w:sz w:val="20"/>
        </w:rPr>
        <w:t>4</w:t>
      </w:r>
      <w:r>
        <w:rPr>
          <w:spacing w:val="-53"/>
          <w:w w:val="99"/>
          <w:sz w:val="20"/>
        </w:rPr>
        <w:t>I</w:t>
      </w:r>
      <w:r>
        <w:rPr>
          <w:rFonts w:ascii="Calibri" w:hAnsi="Calibri"/>
          <w:spacing w:val="-51"/>
          <w:w w:val="99"/>
          <w:position w:val="10"/>
          <w:sz w:val="20"/>
        </w:rPr>
        <w:t>9</w:t>
      </w:r>
      <w:r>
        <w:rPr>
          <w:spacing w:val="1"/>
          <w:w w:val="99"/>
          <w:sz w:val="20"/>
        </w:rPr>
        <w:t>n</w:t>
      </w:r>
      <w:r>
        <w:rPr>
          <w:w w:val="99"/>
          <w:sz w:val="20"/>
        </w:rPr>
        <w:t>f</w:t>
      </w:r>
      <w:r>
        <w:rPr>
          <w:spacing w:val="-2"/>
          <w:w w:val="99"/>
          <w:sz w:val="20"/>
        </w:rPr>
        <w:t>o</w:t>
      </w:r>
      <w:r>
        <w:rPr>
          <w:w w:val="99"/>
          <w:sz w:val="20"/>
        </w:rPr>
        <w:t>r</w:t>
      </w:r>
      <w:r>
        <w:rPr>
          <w:spacing w:val="1"/>
          <w:w w:val="99"/>
          <w:sz w:val="20"/>
        </w:rPr>
        <w:t>m</w:t>
      </w:r>
      <w:r>
        <w:rPr>
          <w:w w:val="99"/>
          <w:sz w:val="20"/>
        </w:rPr>
        <w:t>e</w:t>
      </w:r>
      <w:r>
        <w:rPr>
          <w:spacing w:val="3"/>
          <w:sz w:val="20"/>
        </w:rPr>
        <w:t> </w:t>
      </w:r>
      <w:r>
        <w:rPr>
          <w:w w:val="99"/>
          <w:sz w:val="20"/>
        </w:rPr>
        <w:t>Ec</w:t>
      </w:r>
      <w:r>
        <w:rPr>
          <w:spacing w:val="1"/>
          <w:w w:val="99"/>
          <w:sz w:val="20"/>
        </w:rPr>
        <w:t>o</w:t>
      </w:r>
      <w:r>
        <w:rPr>
          <w:spacing w:val="-2"/>
          <w:w w:val="99"/>
          <w:sz w:val="20"/>
        </w:rPr>
        <w:t>n</w:t>
      </w:r>
      <w:r>
        <w:rPr>
          <w:spacing w:val="1"/>
          <w:w w:val="99"/>
          <w:sz w:val="20"/>
        </w:rPr>
        <w:t>óm</w:t>
      </w:r>
      <w:r>
        <w:rPr>
          <w:spacing w:val="-1"/>
          <w:w w:val="99"/>
          <w:sz w:val="20"/>
        </w:rPr>
        <w:t>i</w:t>
      </w:r>
      <w:r>
        <w:rPr>
          <w:w w:val="99"/>
          <w:sz w:val="20"/>
        </w:rPr>
        <w:t>co</w:t>
      </w:r>
      <w:r>
        <w:rPr>
          <w:spacing w:val="4"/>
          <w:sz w:val="20"/>
        </w:rPr>
        <w:t> </w:t>
      </w:r>
      <w:r>
        <w:rPr>
          <w:spacing w:val="-1"/>
          <w:w w:val="99"/>
          <w:sz w:val="20"/>
        </w:rPr>
        <w:t>Fi</w:t>
      </w:r>
      <w:r>
        <w:rPr>
          <w:spacing w:val="1"/>
          <w:w w:val="99"/>
          <w:sz w:val="20"/>
        </w:rPr>
        <w:t>n</w:t>
      </w:r>
      <w:r>
        <w:rPr>
          <w:w w:val="99"/>
          <w:sz w:val="20"/>
        </w:rPr>
        <w:t>a</w:t>
      </w:r>
      <w:r>
        <w:rPr>
          <w:spacing w:val="1"/>
          <w:w w:val="99"/>
          <w:sz w:val="20"/>
        </w:rPr>
        <w:t>n</w:t>
      </w:r>
      <w:r>
        <w:rPr>
          <w:w w:val="99"/>
          <w:sz w:val="20"/>
        </w:rPr>
        <w:t>c</w:t>
      </w:r>
      <w:r>
        <w:rPr>
          <w:spacing w:val="-1"/>
          <w:w w:val="99"/>
          <w:sz w:val="20"/>
        </w:rPr>
        <w:t>i</w:t>
      </w:r>
      <w:r>
        <w:rPr>
          <w:w w:val="99"/>
          <w:sz w:val="20"/>
        </w:rPr>
        <w:t>er</w:t>
      </w:r>
      <w:r>
        <w:rPr>
          <w:spacing w:val="-2"/>
          <w:w w:val="99"/>
          <w:sz w:val="20"/>
        </w:rPr>
        <w:t>o</w:t>
      </w:r>
      <w:r>
        <w:rPr>
          <w:w w:val="99"/>
          <w:sz w:val="20"/>
        </w:rPr>
        <w:t>.</w:t>
      </w:r>
      <w:r>
        <w:rPr>
          <w:spacing w:val="1"/>
          <w:sz w:val="20"/>
        </w:rPr>
        <w:t> </w:t>
      </w:r>
      <w:r>
        <w:rPr>
          <w:spacing w:val="-14"/>
          <w:w w:val="99"/>
          <w:sz w:val="20"/>
        </w:rPr>
        <w:t>T</w:t>
      </w:r>
      <w:r>
        <w:rPr>
          <w:w w:val="99"/>
          <w:sz w:val="20"/>
        </w:rPr>
        <w:t>al</w:t>
      </w:r>
      <w:r>
        <w:rPr>
          <w:spacing w:val="2"/>
          <w:sz w:val="20"/>
        </w:rPr>
        <w:t> </w:t>
      </w:r>
      <w:r>
        <w:rPr>
          <w:w w:val="99"/>
          <w:sz w:val="20"/>
        </w:rPr>
        <w:t>I</w:t>
      </w:r>
      <w:r>
        <w:rPr>
          <w:spacing w:val="-2"/>
          <w:w w:val="99"/>
          <w:sz w:val="20"/>
        </w:rPr>
        <w:t>n</w:t>
      </w:r>
      <w:r>
        <w:rPr>
          <w:w w:val="99"/>
          <w:sz w:val="20"/>
        </w:rPr>
        <w:t>f</w:t>
      </w:r>
      <w:r>
        <w:rPr>
          <w:spacing w:val="1"/>
          <w:w w:val="99"/>
          <w:sz w:val="20"/>
        </w:rPr>
        <w:t>o</w:t>
      </w:r>
      <w:r>
        <w:rPr>
          <w:spacing w:val="-2"/>
          <w:w w:val="99"/>
          <w:sz w:val="20"/>
        </w:rPr>
        <w:t>r</w:t>
      </w:r>
      <w:r>
        <w:rPr>
          <w:spacing w:val="1"/>
          <w:w w:val="99"/>
          <w:sz w:val="20"/>
        </w:rPr>
        <w:t>m</w:t>
      </w:r>
      <w:r>
        <w:rPr>
          <w:w w:val="99"/>
          <w:sz w:val="20"/>
        </w:rPr>
        <w:t>e</w:t>
      </w:r>
      <w:r>
        <w:rPr>
          <w:spacing w:val="3"/>
          <w:sz w:val="20"/>
        </w:rPr>
        <w:t> </w:t>
      </w:r>
      <w:r>
        <w:rPr>
          <w:spacing w:val="2"/>
          <w:w w:val="99"/>
          <w:sz w:val="20"/>
        </w:rPr>
        <w:t>e</w:t>
      </w:r>
      <w:r>
        <w:rPr>
          <w:w w:val="99"/>
          <w:sz w:val="20"/>
        </w:rPr>
        <w:t>s</w:t>
      </w:r>
      <w:r>
        <w:rPr>
          <w:spacing w:val="2"/>
          <w:sz w:val="20"/>
        </w:rPr>
        <w:t> </w:t>
      </w:r>
      <w:r>
        <w:rPr>
          <w:spacing w:val="-2"/>
          <w:w w:val="99"/>
          <w:sz w:val="20"/>
        </w:rPr>
        <w:t>u</w:t>
      </w:r>
      <w:r>
        <w:rPr>
          <w:w w:val="99"/>
          <w:sz w:val="20"/>
        </w:rPr>
        <w:t>n</w:t>
      </w:r>
      <w:r>
        <w:rPr>
          <w:spacing w:val="4"/>
          <w:sz w:val="20"/>
        </w:rPr>
        <w:t> </w:t>
      </w:r>
      <w:r>
        <w:rPr>
          <w:spacing w:val="1"/>
          <w:w w:val="99"/>
          <w:sz w:val="20"/>
        </w:rPr>
        <w:t>d</w:t>
      </w:r>
      <w:r>
        <w:rPr>
          <w:spacing w:val="-2"/>
          <w:w w:val="99"/>
          <w:sz w:val="20"/>
        </w:rPr>
        <w:t>o</w:t>
      </w:r>
      <w:r>
        <w:rPr>
          <w:spacing w:val="2"/>
          <w:w w:val="99"/>
          <w:sz w:val="20"/>
        </w:rPr>
        <w:t>c</w:t>
      </w:r>
      <w:r>
        <w:rPr>
          <w:spacing w:val="-2"/>
          <w:w w:val="99"/>
          <w:sz w:val="20"/>
        </w:rPr>
        <w:t>u</w:t>
      </w:r>
      <w:r>
        <w:rPr>
          <w:spacing w:val="1"/>
          <w:w w:val="99"/>
          <w:sz w:val="20"/>
        </w:rPr>
        <w:t>m</w:t>
      </w:r>
      <w:r>
        <w:rPr>
          <w:w w:val="99"/>
          <w:sz w:val="20"/>
        </w:rPr>
        <w:t>e</w:t>
      </w:r>
      <w:r>
        <w:rPr>
          <w:spacing w:val="1"/>
          <w:w w:val="99"/>
          <w:sz w:val="20"/>
        </w:rPr>
        <w:t>n</w:t>
      </w:r>
      <w:r>
        <w:rPr>
          <w:spacing w:val="-1"/>
          <w:w w:val="99"/>
          <w:sz w:val="20"/>
        </w:rPr>
        <w:t>t</w:t>
      </w:r>
      <w:r>
        <w:rPr>
          <w:w w:val="99"/>
          <w:sz w:val="20"/>
        </w:rPr>
        <w:t>o</w:t>
      </w:r>
      <w:r>
        <w:rPr>
          <w:spacing w:val="4"/>
          <w:sz w:val="20"/>
        </w:rPr>
        <w:t> </w:t>
      </w:r>
      <w:r>
        <w:rPr>
          <w:spacing w:val="-1"/>
          <w:w w:val="99"/>
          <w:sz w:val="20"/>
        </w:rPr>
        <w:t>i</w:t>
      </w:r>
      <w:r>
        <w:rPr>
          <w:spacing w:val="1"/>
          <w:w w:val="99"/>
          <w:sz w:val="20"/>
        </w:rPr>
        <w:t>n</w:t>
      </w:r>
      <w:r>
        <w:rPr>
          <w:spacing w:val="-1"/>
          <w:w w:val="99"/>
          <w:sz w:val="20"/>
        </w:rPr>
        <w:t>t</w:t>
      </w:r>
      <w:r>
        <w:rPr>
          <w:w w:val="99"/>
          <w:sz w:val="20"/>
        </w:rPr>
        <w:t>e</w:t>
      </w:r>
      <w:r>
        <w:rPr>
          <w:spacing w:val="-2"/>
          <w:w w:val="99"/>
          <w:sz w:val="20"/>
        </w:rPr>
        <w:t>g</w:t>
      </w:r>
      <w:r>
        <w:rPr>
          <w:w w:val="99"/>
          <w:sz w:val="20"/>
        </w:rPr>
        <w:t>ra</w:t>
      </w:r>
      <w:r>
        <w:rPr>
          <w:spacing w:val="1"/>
          <w:w w:val="99"/>
          <w:sz w:val="20"/>
        </w:rPr>
        <w:t>n</w:t>
      </w:r>
      <w:r>
        <w:rPr>
          <w:spacing w:val="-1"/>
          <w:w w:val="99"/>
          <w:sz w:val="20"/>
        </w:rPr>
        <w:t>t</w:t>
      </w:r>
      <w:r>
        <w:rPr>
          <w:w w:val="99"/>
          <w:sz w:val="20"/>
        </w:rPr>
        <w:t>e</w:t>
      </w:r>
      <w:r>
        <w:rPr>
          <w:spacing w:val="3"/>
          <w:sz w:val="20"/>
        </w:rPr>
        <w:t> </w:t>
      </w:r>
      <w:r>
        <w:rPr>
          <w:spacing w:val="1"/>
          <w:w w:val="99"/>
          <w:sz w:val="20"/>
        </w:rPr>
        <w:t>d</w:t>
      </w:r>
      <w:r>
        <w:rPr>
          <w:w w:val="99"/>
          <w:sz w:val="20"/>
        </w:rPr>
        <w:t>e</w:t>
      </w:r>
      <w:r>
        <w:rPr>
          <w:spacing w:val="3"/>
          <w:sz w:val="20"/>
        </w:rPr>
        <w:t> </w:t>
      </w:r>
      <w:r>
        <w:rPr>
          <w:spacing w:val="-1"/>
          <w:w w:val="99"/>
          <w:sz w:val="20"/>
        </w:rPr>
        <w:t>l</w:t>
      </w:r>
      <w:r>
        <w:rPr>
          <w:w w:val="99"/>
          <w:sz w:val="20"/>
        </w:rPr>
        <w:t>a</w:t>
      </w:r>
      <w:r>
        <w:rPr>
          <w:spacing w:val="3"/>
          <w:sz w:val="20"/>
        </w:rPr>
        <w:t> </w:t>
      </w:r>
      <w:r>
        <w:rPr>
          <w:spacing w:val="1"/>
          <w:w w:val="99"/>
          <w:sz w:val="20"/>
        </w:rPr>
        <w:t>d</w:t>
      </w:r>
      <w:r>
        <w:rPr>
          <w:spacing w:val="-2"/>
          <w:w w:val="99"/>
          <w:sz w:val="20"/>
        </w:rPr>
        <w:t>o</w:t>
      </w:r>
      <w:r>
        <w:rPr>
          <w:w w:val="99"/>
          <w:sz w:val="20"/>
        </w:rPr>
        <w:t>c</w:t>
      </w:r>
      <w:r>
        <w:rPr>
          <w:spacing w:val="1"/>
          <w:w w:val="99"/>
          <w:sz w:val="20"/>
        </w:rPr>
        <w:t>um</w:t>
      </w:r>
      <w:r>
        <w:rPr>
          <w:w w:val="99"/>
          <w:sz w:val="20"/>
        </w:rPr>
        <w:t>e</w:t>
      </w:r>
      <w:r>
        <w:rPr>
          <w:spacing w:val="-2"/>
          <w:w w:val="99"/>
          <w:sz w:val="20"/>
        </w:rPr>
        <w:t>n</w:t>
      </w:r>
      <w:r>
        <w:rPr>
          <w:spacing w:val="2"/>
          <w:w w:val="99"/>
          <w:sz w:val="20"/>
        </w:rPr>
        <w:t>t</w:t>
      </w:r>
      <w:r>
        <w:rPr>
          <w:spacing w:val="-2"/>
          <w:w w:val="99"/>
          <w:sz w:val="20"/>
        </w:rPr>
        <w:t>a</w:t>
      </w:r>
      <w:r>
        <w:rPr>
          <w:spacing w:val="-1"/>
          <w:w w:val="99"/>
          <w:sz w:val="20"/>
        </w:rPr>
        <w:t>c</w:t>
      </w:r>
      <w:r>
        <w:rPr>
          <w:spacing w:val="2"/>
          <w:w w:val="99"/>
          <w:sz w:val="20"/>
        </w:rPr>
        <w:t>i</w:t>
      </w:r>
      <w:r>
        <w:rPr>
          <w:spacing w:val="-2"/>
          <w:w w:val="99"/>
          <w:sz w:val="20"/>
        </w:rPr>
        <w:t>ó</w:t>
      </w:r>
      <w:r>
        <w:rPr>
          <w:w w:val="99"/>
          <w:sz w:val="20"/>
        </w:rPr>
        <w:t>n</w:t>
      </w:r>
    </w:p>
    <w:p>
      <w:pPr>
        <w:pStyle w:val="BodyText"/>
        <w:spacing w:line="216" w:lineRule="exact"/>
        <w:ind w:left="551"/>
      </w:pPr>
      <w:r>
        <w:rPr/>
        <w:t>anexa al proyecto del presupuesto que se está analizando mediante el presente Informe.</w:t>
      </w:r>
    </w:p>
    <w:p>
      <w:pPr>
        <w:pStyle w:val="ListParagraph"/>
        <w:numPr>
          <w:ilvl w:val="0"/>
          <w:numId w:val="6"/>
        </w:numPr>
        <w:tabs>
          <w:tab w:pos="552" w:val="left" w:leader="none"/>
        </w:tabs>
        <w:spacing w:line="240" w:lineRule="auto" w:before="120" w:after="0"/>
        <w:ind w:left="551" w:right="1697" w:hanging="449"/>
        <w:jc w:val="both"/>
        <w:rPr>
          <w:sz w:val="20"/>
        </w:rPr>
      </w:pPr>
      <w:r>
        <w:rPr>
          <w:sz w:val="20"/>
        </w:rPr>
        <w:t>Queda hacer especial mención a que en este año se mantiene la partida para financiar la contratación de la concesión del centro de ocio y</w:t>
      </w:r>
      <w:r>
        <w:rPr>
          <w:spacing w:val="-4"/>
          <w:sz w:val="20"/>
        </w:rPr>
        <w:t> </w:t>
      </w:r>
      <w:r>
        <w:rPr>
          <w:sz w:val="20"/>
        </w:rPr>
        <w:t>salud.</w:t>
      </w:r>
    </w:p>
    <w:p>
      <w:pPr>
        <w:pStyle w:val="ListParagraph"/>
        <w:numPr>
          <w:ilvl w:val="0"/>
          <w:numId w:val="6"/>
        </w:numPr>
        <w:tabs>
          <w:tab w:pos="552" w:val="left" w:leader="none"/>
        </w:tabs>
        <w:spacing w:line="240" w:lineRule="auto" w:before="124" w:after="0"/>
        <w:ind w:left="551" w:right="1703" w:hanging="449"/>
        <w:jc w:val="both"/>
        <w:rPr>
          <w:sz w:val="20"/>
        </w:rPr>
      </w:pPr>
      <w:r>
        <w:rPr>
          <w:spacing w:val="-11"/>
          <w:sz w:val="20"/>
        </w:rPr>
        <w:t>Ya </w:t>
      </w:r>
      <w:r>
        <w:rPr>
          <w:sz w:val="20"/>
        </w:rPr>
        <w:t>no hay previsión para el pago de las facturas al Registrador de la Propiedad por el servicio de colaboración en la cobranza del IIVTNU en tanto que ya no hay</w:t>
      </w:r>
      <w:r>
        <w:rPr>
          <w:spacing w:val="-3"/>
          <w:sz w:val="20"/>
        </w:rPr>
        <w:t> </w:t>
      </w:r>
      <w:r>
        <w:rPr>
          <w:sz w:val="20"/>
        </w:rPr>
        <w:t>convenio.</w:t>
      </w:r>
    </w:p>
    <w:p>
      <w:pPr>
        <w:pStyle w:val="ListParagraph"/>
        <w:numPr>
          <w:ilvl w:val="0"/>
          <w:numId w:val="6"/>
        </w:numPr>
        <w:tabs>
          <w:tab w:pos="552" w:val="left" w:leader="none"/>
        </w:tabs>
        <w:spacing w:line="240" w:lineRule="auto" w:before="120" w:after="0"/>
        <w:ind w:left="551" w:right="1692" w:hanging="449"/>
        <w:jc w:val="both"/>
        <w:rPr>
          <w:sz w:val="20"/>
        </w:rPr>
      </w:pPr>
      <w:r>
        <w:rPr>
          <w:sz w:val="20"/>
        </w:rPr>
        <w:t>Especial mención merece la partida relativa al suministro de energía que tuvo que duplicarse en 2022 debido al incremento del coste de la mensualidad en un 100%. Es por ello que resulta de interés esencial llevar a cabo lo antes posible aquellas actuaciones dirigidas a reducir el consumo ya sea mediante sustitución de luminarias u otros métodos al efecto. Al efecto se ha licitado dicho suministro y se tiene contrato vigente con endesa lo cual ha de suponer según criterio técnico un abaratamiento respecto el último</w:t>
      </w:r>
      <w:r>
        <w:rPr>
          <w:spacing w:val="-15"/>
          <w:sz w:val="20"/>
        </w:rPr>
        <w:t> </w:t>
      </w:r>
      <w:r>
        <w:rPr>
          <w:sz w:val="20"/>
        </w:rPr>
        <w:t>ejercicio.</w:t>
      </w:r>
    </w:p>
    <w:p>
      <w:pPr>
        <w:pStyle w:val="BodyText"/>
        <w:spacing w:before="8"/>
      </w:pPr>
    </w:p>
    <w:p>
      <w:pPr>
        <w:pStyle w:val="Heading2"/>
        <w:numPr>
          <w:ilvl w:val="1"/>
          <w:numId w:val="5"/>
        </w:numPr>
        <w:tabs>
          <w:tab w:pos="1204" w:val="left" w:leader="none"/>
        </w:tabs>
        <w:spacing w:line="240" w:lineRule="auto" w:before="0" w:after="0"/>
        <w:ind w:left="1203" w:right="0" w:hanging="394"/>
        <w:jc w:val="left"/>
      </w:pPr>
      <w:r>
        <w:rPr/>
        <w:t>TRANSFERENCIAS Y</w:t>
      </w:r>
      <w:r>
        <w:rPr>
          <w:spacing w:val="-16"/>
        </w:rPr>
        <w:t> </w:t>
      </w:r>
      <w:r>
        <w:rPr/>
        <w:t>SUBVENCIONES</w:t>
      </w:r>
    </w:p>
    <w:p>
      <w:pPr>
        <w:pStyle w:val="BodyText"/>
        <w:spacing w:line="242" w:lineRule="auto" w:before="120"/>
        <w:ind w:left="102" w:right="1691"/>
        <w:jc w:val="both"/>
      </w:pPr>
      <w:r>
        <w:rPr/>
        <w:t>En el apartado de transferencias y subvenciones en primer cabe indicar que se aumenta hasta 2,6 millones la cifra prevista para 2024 y que se encuentran recogidas en gran número con carácter nominativas como son por ejemplo las subvenciones a El Cribo, La Santa, Asomavo, Adislan..., a los distintos institutos, cofradía de pescadores de la tiñosa…</w:t>
      </w:r>
    </w:p>
    <w:p>
      <w:pPr>
        <w:pStyle w:val="BodyText"/>
        <w:spacing w:before="115"/>
        <w:ind w:left="102" w:right="1700"/>
        <w:jc w:val="both"/>
      </w:pPr>
      <w:r>
        <w:rPr/>
        <w:t>De </w:t>
      </w:r>
      <w:r>
        <w:rPr>
          <w:spacing w:val="-3"/>
        </w:rPr>
        <w:t>conformidad </w:t>
      </w:r>
      <w:r>
        <w:rPr>
          <w:spacing w:val="-2"/>
        </w:rPr>
        <w:t>con </w:t>
      </w:r>
      <w:r>
        <w:rPr/>
        <w:t>la </w:t>
      </w:r>
      <w:r>
        <w:rPr>
          <w:spacing w:val="-3"/>
        </w:rPr>
        <w:t>normativa vigente, todas aquellas subvenciones </w:t>
      </w:r>
      <w:r>
        <w:rPr>
          <w:spacing w:val="-2"/>
        </w:rPr>
        <w:t>que </w:t>
      </w:r>
      <w:r>
        <w:rPr/>
        <w:t>no </w:t>
      </w:r>
      <w:r>
        <w:rPr>
          <w:spacing w:val="-3"/>
        </w:rPr>
        <w:t>figuren nominativamente </w:t>
      </w:r>
      <w:r>
        <w:rPr/>
        <w:t>en el </w:t>
      </w:r>
      <w:r>
        <w:rPr>
          <w:spacing w:val="-3"/>
        </w:rPr>
        <w:t>Presupuesto, requieren </w:t>
      </w:r>
      <w:r>
        <w:rPr/>
        <w:t>la </w:t>
      </w:r>
      <w:r>
        <w:rPr>
          <w:spacing w:val="-3"/>
        </w:rPr>
        <w:t>previa aprobación </w:t>
      </w:r>
      <w:r>
        <w:rPr/>
        <w:t>de unas </w:t>
      </w:r>
      <w:r>
        <w:rPr>
          <w:spacing w:val="-3"/>
        </w:rPr>
        <w:t>bases </w:t>
      </w:r>
      <w:r>
        <w:rPr/>
        <w:t>para su </w:t>
      </w:r>
      <w:r>
        <w:rPr>
          <w:spacing w:val="-3"/>
        </w:rPr>
        <w:t>convocatoria </w:t>
      </w:r>
      <w:r>
        <w:rPr/>
        <w:t>y </w:t>
      </w:r>
      <w:r>
        <w:rPr>
          <w:spacing w:val="-3"/>
        </w:rPr>
        <w:t>someterse </w:t>
      </w:r>
      <w:r>
        <w:rPr/>
        <w:t>a </w:t>
      </w:r>
      <w:r>
        <w:rPr>
          <w:spacing w:val="-3"/>
        </w:rPr>
        <w:t>preceptiva publicidad.</w:t>
      </w:r>
    </w:p>
    <w:p>
      <w:pPr>
        <w:pStyle w:val="BodyText"/>
        <w:spacing w:line="242" w:lineRule="auto" w:before="1"/>
        <w:ind w:left="102" w:right="1702" w:hanging="1"/>
        <w:jc w:val="both"/>
      </w:pPr>
      <w:r>
        <w:rPr>
          <w:spacing w:val="-3"/>
        </w:rPr>
        <w:t>Hacer especial mención </w:t>
      </w:r>
      <w:r>
        <w:rPr/>
        <w:t>a la </w:t>
      </w:r>
      <w:r>
        <w:rPr>
          <w:spacing w:val="-3"/>
        </w:rPr>
        <w:t>existencia </w:t>
      </w:r>
      <w:r>
        <w:rPr/>
        <w:t>de </w:t>
      </w:r>
      <w:r>
        <w:rPr>
          <w:spacing w:val="-3"/>
        </w:rPr>
        <w:t>subvención nominada </w:t>
      </w:r>
      <w:r>
        <w:rPr/>
        <w:t>a la </w:t>
      </w:r>
      <w:r>
        <w:rPr>
          <w:spacing w:val="-3"/>
        </w:rPr>
        <w:t>Sociedad </w:t>
      </w:r>
      <w:r>
        <w:rPr/>
        <w:t>de </w:t>
      </w:r>
      <w:r>
        <w:rPr>
          <w:spacing w:val="-3"/>
        </w:rPr>
        <w:t>Promoción </w:t>
      </w:r>
      <w:r>
        <w:rPr>
          <w:spacing w:val="-4"/>
        </w:rPr>
        <w:t>Exterior. </w:t>
      </w:r>
      <w:r>
        <w:rPr>
          <w:spacing w:val="-3"/>
        </w:rPr>
        <w:t>Al respecto </w:t>
      </w:r>
      <w:r>
        <w:rPr/>
        <w:t>cabe </w:t>
      </w:r>
      <w:r>
        <w:rPr>
          <w:spacing w:val="-3"/>
        </w:rPr>
        <w:t>indicar </w:t>
      </w:r>
      <w:r>
        <w:rPr>
          <w:spacing w:val="-2"/>
        </w:rPr>
        <w:t>que </w:t>
      </w:r>
      <w:r>
        <w:rPr/>
        <w:t>es a </w:t>
      </w:r>
      <w:r>
        <w:rPr>
          <w:spacing w:val="-3"/>
        </w:rPr>
        <w:t>través </w:t>
      </w:r>
      <w:r>
        <w:rPr/>
        <w:t>de </w:t>
      </w:r>
      <w:r>
        <w:rPr>
          <w:spacing w:val="-3"/>
        </w:rPr>
        <w:t>dicha sociedad </w:t>
      </w:r>
      <w:r>
        <w:rPr/>
        <w:t>de </w:t>
      </w:r>
      <w:r>
        <w:rPr>
          <w:spacing w:val="-3"/>
        </w:rPr>
        <w:t>capital público </w:t>
      </w:r>
      <w:r>
        <w:rPr/>
        <w:t>a </w:t>
      </w:r>
      <w:r>
        <w:rPr>
          <w:spacing w:val="-3"/>
        </w:rPr>
        <w:t>través </w:t>
      </w:r>
      <w:r>
        <w:rPr/>
        <w:t>de la </w:t>
      </w:r>
      <w:r>
        <w:rPr>
          <w:spacing w:val="-2"/>
        </w:rPr>
        <w:t>que </w:t>
      </w:r>
      <w:r>
        <w:rPr/>
        <w:t>la </w:t>
      </w:r>
      <w:r>
        <w:rPr>
          <w:spacing w:val="-3"/>
        </w:rPr>
        <w:t>corporación pretende llevar </w:t>
      </w:r>
      <w:r>
        <w:rPr/>
        <w:t>a </w:t>
      </w:r>
      <w:r>
        <w:rPr>
          <w:spacing w:val="-3"/>
        </w:rPr>
        <w:t>cabo </w:t>
      </w:r>
      <w:r>
        <w:rPr/>
        <w:t>la </w:t>
      </w:r>
      <w:r>
        <w:rPr>
          <w:spacing w:val="-3"/>
        </w:rPr>
        <w:t>actividad </w:t>
      </w:r>
      <w:r>
        <w:rPr/>
        <w:t>de </w:t>
      </w:r>
      <w:r>
        <w:rPr>
          <w:spacing w:val="-3"/>
        </w:rPr>
        <w:t>informadores turísticos </w:t>
      </w:r>
      <w:r>
        <w:rPr/>
        <w:t>en </w:t>
      </w:r>
      <w:r>
        <w:rPr>
          <w:spacing w:val="-3"/>
        </w:rPr>
        <w:t>el municipio </w:t>
      </w:r>
      <w:r>
        <w:rPr>
          <w:spacing w:val="-2"/>
        </w:rPr>
        <w:t>así </w:t>
      </w:r>
      <w:r>
        <w:rPr>
          <w:spacing w:val="-3"/>
        </w:rPr>
        <w:t>como </w:t>
      </w:r>
      <w:r>
        <w:rPr/>
        <w:t>de </w:t>
      </w:r>
      <w:r>
        <w:rPr>
          <w:spacing w:val="-3"/>
        </w:rPr>
        <w:t>promoción turística </w:t>
      </w:r>
      <w:r>
        <w:rPr/>
        <w:t>en </w:t>
      </w:r>
      <w:r>
        <w:rPr>
          <w:spacing w:val="-3"/>
        </w:rPr>
        <w:t>distintos ámbitos.</w:t>
      </w:r>
    </w:p>
    <w:p>
      <w:pPr>
        <w:pStyle w:val="BodyText"/>
        <w:ind w:left="102" w:right="1703" w:hanging="1"/>
        <w:jc w:val="both"/>
      </w:pPr>
      <w:r>
        <w:rPr>
          <w:spacing w:val="-2"/>
        </w:rPr>
        <w:t>Merece </w:t>
      </w:r>
      <w:r>
        <w:rPr>
          <w:spacing w:val="-3"/>
        </w:rPr>
        <w:t>especial atención la creación </w:t>
      </w:r>
      <w:r>
        <w:rPr/>
        <w:t>de </w:t>
      </w:r>
      <w:r>
        <w:rPr>
          <w:spacing w:val="-2"/>
        </w:rPr>
        <w:t>una </w:t>
      </w:r>
      <w:r>
        <w:rPr>
          <w:spacing w:val="-3"/>
        </w:rPr>
        <w:t>partida </w:t>
      </w:r>
      <w:r>
        <w:rPr/>
        <w:t>de </w:t>
      </w:r>
      <w:r>
        <w:rPr>
          <w:spacing w:val="-3"/>
        </w:rPr>
        <w:t>aportación </w:t>
      </w:r>
      <w:r>
        <w:rPr/>
        <w:t>al </w:t>
      </w:r>
      <w:r>
        <w:rPr>
          <w:spacing w:val="-3"/>
        </w:rPr>
        <w:t>Cabildo para </w:t>
      </w:r>
      <w:r>
        <w:rPr/>
        <w:t>el </w:t>
      </w:r>
      <w:r>
        <w:rPr>
          <w:spacing w:val="-3"/>
        </w:rPr>
        <w:t>sostenimiento </w:t>
      </w:r>
      <w:r>
        <w:rPr>
          <w:spacing w:val="-2"/>
        </w:rPr>
        <w:t>del </w:t>
      </w:r>
      <w:r>
        <w:rPr>
          <w:spacing w:val="-3"/>
        </w:rPr>
        <w:t>servicio insular </w:t>
      </w:r>
      <w:r>
        <w:rPr/>
        <w:t>de </w:t>
      </w:r>
      <w:r>
        <w:rPr>
          <w:spacing w:val="-3"/>
        </w:rPr>
        <w:t>recogida selectiva </w:t>
      </w:r>
      <w:r>
        <w:rPr/>
        <w:t>de </w:t>
      </w:r>
      <w:r>
        <w:rPr>
          <w:spacing w:val="-3"/>
        </w:rPr>
        <w:t>envases </w:t>
      </w:r>
      <w:r>
        <w:rPr/>
        <w:t>y </w:t>
      </w:r>
      <w:r>
        <w:rPr>
          <w:spacing w:val="-3"/>
        </w:rPr>
        <w:t>papel-cartón.</w:t>
      </w:r>
    </w:p>
    <w:p>
      <w:pPr>
        <w:pStyle w:val="BodyText"/>
      </w:pPr>
    </w:p>
    <w:p>
      <w:pPr>
        <w:pStyle w:val="BodyText"/>
        <w:ind w:left="102" w:right="1690"/>
        <w:jc w:val="both"/>
      </w:pPr>
      <w:r>
        <w:rPr/>
        <w:t>En </w:t>
      </w:r>
      <w:r>
        <w:rPr>
          <w:spacing w:val="-3"/>
        </w:rPr>
        <w:t>esta sección </w:t>
      </w:r>
      <w:r>
        <w:rPr/>
        <w:t>sí se </w:t>
      </w:r>
      <w:r>
        <w:rPr>
          <w:spacing w:val="-3"/>
        </w:rPr>
        <w:t>aprovecha para informar </w:t>
      </w:r>
      <w:r>
        <w:rPr>
          <w:spacing w:val="-2"/>
        </w:rPr>
        <w:t>que </w:t>
      </w:r>
      <w:r>
        <w:rPr/>
        <w:t>a </w:t>
      </w:r>
      <w:r>
        <w:rPr>
          <w:spacing w:val="-3"/>
        </w:rPr>
        <w:t>juicio </w:t>
      </w:r>
      <w:r>
        <w:rPr/>
        <w:t>de </w:t>
      </w:r>
      <w:r>
        <w:rPr>
          <w:spacing w:val="-3"/>
        </w:rPr>
        <w:t>esta Intervención la cifra </w:t>
      </w:r>
      <w:r>
        <w:rPr/>
        <w:t>y el </w:t>
      </w:r>
      <w:r>
        <w:rPr>
          <w:spacing w:val="-3"/>
        </w:rPr>
        <w:t>número </w:t>
      </w:r>
      <w:r>
        <w:rPr/>
        <w:t>de </w:t>
      </w:r>
      <w:r>
        <w:rPr>
          <w:spacing w:val="-3"/>
        </w:rPr>
        <w:t>subvenciones es </w:t>
      </w:r>
      <w:r>
        <w:rPr>
          <w:spacing w:val="-2"/>
        </w:rPr>
        <w:t>muy</w:t>
      </w:r>
      <w:r>
        <w:rPr>
          <w:spacing w:val="-8"/>
        </w:rPr>
        <w:t> </w:t>
      </w:r>
      <w:r>
        <w:rPr>
          <w:spacing w:val="-3"/>
        </w:rPr>
        <w:t>elevada,</w:t>
      </w:r>
      <w:r>
        <w:rPr>
          <w:spacing w:val="-8"/>
        </w:rPr>
        <w:t> </w:t>
      </w:r>
      <w:r>
        <w:rPr>
          <w:spacing w:val="-3"/>
        </w:rPr>
        <w:t>tanto</w:t>
      </w:r>
      <w:r>
        <w:rPr>
          <w:spacing w:val="-7"/>
        </w:rPr>
        <w:t> </w:t>
      </w:r>
      <w:r>
        <w:rPr>
          <w:spacing w:val="-2"/>
        </w:rPr>
        <w:t>que</w:t>
      </w:r>
      <w:r>
        <w:rPr>
          <w:spacing w:val="-8"/>
        </w:rPr>
        <w:t> </w:t>
      </w:r>
      <w:r>
        <w:rPr>
          <w:spacing w:val="-3"/>
        </w:rPr>
        <w:t>está</w:t>
      </w:r>
      <w:r>
        <w:rPr>
          <w:spacing w:val="-8"/>
        </w:rPr>
        <w:t> </w:t>
      </w:r>
      <w:r>
        <w:rPr>
          <w:spacing w:val="-3"/>
        </w:rPr>
        <w:t>suponiendo</w:t>
      </w:r>
      <w:r>
        <w:rPr>
          <w:spacing w:val="-8"/>
        </w:rPr>
        <w:t> </w:t>
      </w:r>
      <w:r>
        <w:rPr/>
        <w:t>un</w:t>
      </w:r>
      <w:r>
        <w:rPr>
          <w:spacing w:val="-7"/>
        </w:rPr>
        <w:t> </w:t>
      </w:r>
      <w:r>
        <w:rPr>
          <w:spacing w:val="-3"/>
        </w:rPr>
        <w:t>funcionamiento</w:t>
      </w:r>
      <w:r>
        <w:rPr>
          <w:spacing w:val="-7"/>
        </w:rPr>
        <w:t> </w:t>
      </w:r>
      <w:r>
        <w:rPr>
          <w:spacing w:val="-3"/>
        </w:rPr>
        <w:t>dificil</w:t>
      </w:r>
      <w:r>
        <w:rPr>
          <w:spacing w:val="-6"/>
        </w:rPr>
        <w:t> </w:t>
      </w:r>
      <w:r>
        <w:rPr/>
        <w:t>en</w:t>
      </w:r>
      <w:r>
        <w:rPr>
          <w:spacing w:val="-7"/>
        </w:rPr>
        <w:t> </w:t>
      </w:r>
      <w:r>
        <w:rPr>
          <w:spacing w:val="-3"/>
        </w:rPr>
        <w:t>esta</w:t>
      </w:r>
      <w:r>
        <w:rPr>
          <w:spacing w:val="-6"/>
        </w:rPr>
        <w:t> </w:t>
      </w:r>
      <w:r>
        <w:rPr>
          <w:spacing w:val="-3"/>
        </w:rPr>
        <w:t>materia</w:t>
      </w:r>
      <w:r>
        <w:rPr>
          <w:spacing w:val="-8"/>
        </w:rPr>
        <w:t> </w:t>
      </w:r>
      <w:r>
        <w:rPr>
          <w:spacing w:val="-2"/>
        </w:rPr>
        <w:t>por</w:t>
      </w:r>
      <w:r>
        <w:rPr>
          <w:spacing w:val="-7"/>
        </w:rPr>
        <w:t> </w:t>
      </w:r>
      <w:r>
        <w:rPr>
          <w:spacing w:val="-3"/>
        </w:rPr>
        <w:t>cuanto</w:t>
      </w:r>
      <w:r>
        <w:rPr>
          <w:spacing w:val="-7"/>
        </w:rPr>
        <w:t> </w:t>
      </w:r>
      <w:r>
        <w:rPr/>
        <w:t>los</w:t>
      </w:r>
      <w:r>
        <w:rPr>
          <w:spacing w:val="-7"/>
        </w:rPr>
        <w:t> </w:t>
      </w:r>
      <w:r>
        <w:rPr>
          <w:spacing w:val="-4"/>
        </w:rPr>
        <w:t>distintos</w:t>
      </w:r>
      <w:r>
        <w:rPr>
          <w:spacing w:val="-7"/>
        </w:rPr>
        <w:t> </w:t>
      </w:r>
      <w:r>
        <w:rPr>
          <w:spacing w:val="-3"/>
        </w:rPr>
        <w:t>departamentos </w:t>
      </w:r>
      <w:r>
        <w:rPr/>
        <w:t>no </w:t>
      </w:r>
      <w:r>
        <w:rPr>
          <w:spacing w:val="-3"/>
        </w:rPr>
        <w:t>cuentan con medios suficientes </w:t>
      </w:r>
      <w:r>
        <w:rPr/>
        <w:t>y </w:t>
      </w:r>
      <w:r>
        <w:rPr>
          <w:spacing w:val="-2"/>
        </w:rPr>
        <w:t>son </w:t>
      </w:r>
      <w:r>
        <w:rPr>
          <w:spacing w:val="-3"/>
        </w:rPr>
        <w:t>incapaces </w:t>
      </w:r>
      <w:r>
        <w:rPr/>
        <w:t>de </w:t>
      </w:r>
      <w:r>
        <w:rPr>
          <w:spacing w:val="-3"/>
        </w:rPr>
        <w:t>tramitarlas </w:t>
      </w:r>
      <w:r>
        <w:rPr/>
        <w:t>y </w:t>
      </w:r>
      <w:r>
        <w:rPr>
          <w:spacing w:val="-3"/>
        </w:rPr>
        <w:t>poder hacer </w:t>
      </w:r>
      <w:r>
        <w:rPr/>
        <w:t>el </w:t>
      </w:r>
      <w:r>
        <w:rPr>
          <w:spacing w:val="-3"/>
        </w:rPr>
        <w:t>seguimiento </w:t>
      </w:r>
      <w:r>
        <w:rPr/>
        <w:t>de la </w:t>
      </w:r>
      <w:r>
        <w:rPr>
          <w:spacing w:val="-3"/>
        </w:rPr>
        <w:t>ejecución </w:t>
      </w:r>
      <w:r>
        <w:rPr/>
        <w:t>de </w:t>
      </w:r>
      <w:r>
        <w:rPr>
          <w:spacing w:val="-3"/>
        </w:rPr>
        <w:t>los proyectos como es debido </w:t>
      </w:r>
      <w:r>
        <w:rPr/>
        <w:t>pues </w:t>
      </w:r>
      <w:r>
        <w:rPr>
          <w:spacing w:val="-2"/>
        </w:rPr>
        <w:t>son </w:t>
      </w:r>
      <w:r>
        <w:rPr>
          <w:spacing w:val="-3"/>
        </w:rPr>
        <w:t>expedientes complejos </w:t>
      </w:r>
      <w:r>
        <w:rPr/>
        <w:t>y de </w:t>
      </w:r>
      <w:r>
        <w:rPr>
          <w:spacing w:val="-3"/>
        </w:rPr>
        <w:t>mucha documentación. Ello está provocando igualmente </w:t>
      </w:r>
      <w:r>
        <w:rPr>
          <w:spacing w:val="-2"/>
        </w:rPr>
        <w:t>una </w:t>
      </w:r>
      <w:r>
        <w:rPr>
          <w:spacing w:val="-3"/>
        </w:rPr>
        <w:t>saturación del departamento </w:t>
      </w:r>
      <w:r>
        <w:rPr/>
        <w:t>de </w:t>
      </w:r>
      <w:r>
        <w:rPr>
          <w:spacing w:val="-3"/>
        </w:rPr>
        <w:t>Intervención </w:t>
      </w:r>
      <w:r>
        <w:rPr/>
        <w:t>y </w:t>
      </w:r>
      <w:r>
        <w:rPr>
          <w:spacing w:val="-5"/>
        </w:rPr>
        <w:t>Tesorería </w:t>
      </w:r>
      <w:r>
        <w:rPr/>
        <w:t>así como se </w:t>
      </w:r>
      <w:r>
        <w:rPr>
          <w:spacing w:val="-3"/>
        </w:rPr>
        <w:t>pretende tramitar numerosas </w:t>
      </w:r>
      <w:r>
        <w:rPr/>
        <w:t>de </w:t>
      </w:r>
      <w:r>
        <w:rPr>
          <w:spacing w:val="-3"/>
        </w:rPr>
        <w:t>ellas </w:t>
      </w:r>
      <w:r>
        <w:rPr/>
        <w:t>en </w:t>
      </w:r>
      <w:r>
        <w:rPr>
          <w:spacing w:val="-3"/>
        </w:rPr>
        <w:t>los últimos diez días </w:t>
      </w:r>
      <w:r>
        <w:rPr/>
        <w:t>del </w:t>
      </w:r>
      <w:r>
        <w:rPr>
          <w:spacing w:val="-3"/>
        </w:rPr>
        <w:t>ejercicio </w:t>
      </w:r>
      <w:r>
        <w:rPr/>
        <w:t>lo </w:t>
      </w:r>
      <w:r>
        <w:rPr>
          <w:spacing w:val="-3"/>
        </w:rPr>
        <w:t>cual obstaculiza enormemente </w:t>
      </w:r>
      <w:r>
        <w:rPr/>
        <w:t>las </w:t>
      </w:r>
      <w:r>
        <w:rPr>
          <w:spacing w:val="-3"/>
        </w:rPr>
        <w:t>labores </w:t>
      </w:r>
      <w:r>
        <w:rPr/>
        <w:t>de </w:t>
      </w:r>
      <w:r>
        <w:rPr>
          <w:spacing w:val="-3"/>
        </w:rPr>
        <w:t>cierre. </w:t>
      </w:r>
      <w:r>
        <w:rPr/>
        <w:t>Es </w:t>
      </w:r>
      <w:r>
        <w:rPr>
          <w:spacing w:val="-2"/>
        </w:rPr>
        <w:t>por </w:t>
      </w:r>
      <w:r>
        <w:rPr>
          <w:spacing w:val="-3"/>
        </w:rPr>
        <w:t>ello que esta Intervención</w:t>
      </w:r>
      <w:r>
        <w:rPr>
          <w:spacing w:val="-7"/>
        </w:rPr>
        <w:t> </w:t>
      </w:r>
      <w:r>
        <w:rPr>
          <w:spacing w:val="-3"/>
        </w:rPr>
        <w:t>entiende</w:t>
      </w:r>
      <w:r>
        <w:rPr>
          <w:spacing w:val="-8"/>
        </w:rPr>
        <w:t> </w:t>
      </w:r>
      <w:r>
        <w:rPr>
          <w:spacing w:val="-3"/>
        </w:rPr>
        <w:t>incorrecta</w:t>
      </w:r>
      <w:r>
        <w:rPr>
          <w:spacing w:val="-5"/>
        </w:rPr>
        <w:t> </w:t>
      </w:r>
      <w:r>
        <w:rPr/>
        <w:t>la</w:t>
      </w:r>
      <w:r>
        <w:rPr>
          <w:spacing w:val="-8"/>
        </w:rPr>
        <w:t> </w:t>
      </w:r>
      <w:r>
        <w:rPr>
          <w:spacing w:val="-3"/>
        </w:rPr>
        <w:t>consignación</w:t>
      </w:r>
      <w:r>
        <w:rPr>
          <w:spacing w:val="-6"/>
        </w:rPr>
        <w:t> </w:t>
      </w:r>
      <w:r>
        <w:rPr/>
        <w:t>de</w:t>
      </w:r>
      <w:r>
        <w:rPr>
          <w:spacing w:val="-9"/>
        </w:rPr>
        <w:t> </w:t>
      </w:r>
      <w:r>
        <w:rPr>
          <w:spacing w:val="-3"/>
        </w:rPr>
        <w:t>subvenciones</w:t>
      </w:r>
      <w:r>
        <w:rPr>
          <w:spacing w:val="-7"/>
        </w:rPr>
        <w:t> </w:t>
      </w:r>
      <w:r>
        <w:rPr/>
        <w:t>en</w:t>
      </w:r>
      <w:r>
        <w:rPr>
          <w:spacing w:val="-7"/>
        </w:rPr>
        <w:t> </w:t>
      </w:r>
      <w:r>
        <w:rPr>
          <w:spacing w:val="-3"/>
        </w:rPr>
        <w:t>tan</w:t>
      </w:r>
      <w:r>
        <w:rPr>
          <w:spacing w:val="-7"/>
        </w:rPr>
        <w:t> </w:t>
      </w:r>
      <w:r>
        <w:rPr>
          <w:spacing w:val="-3"/>
        </w:rPr>
        <w:t>elevado</w:t>
      </w:r>
      <w:r>
        <w:rPr>
          <w:spacing w:val="-6"/>
        </w:rPr>
        <w:t> </w:t>
      </w:r>
      <w:r>
        <w:rPr>
          <w:spacing w:val="-3"/>
        </w:rPr>
        <w:t>número</w:t>
      </w:r>
      <w:r>
        <w:rPr>
          <w:spacing w:val="-7"/>
        </w:rPr>
        <w:t> </w:t>
      </w:r>
      <w:r>
        <w:rPr/>
        <w:t>y</w:t>
      </w:r>
      <w:r>
        <w:rPr>
          <w:spacing w:val="-7"/>
        </w:rPr>
        <w:t> </w:t>
      </w:r>
      <w:r>
        <w:rPr>
          <w:spacing w:val="-2"/>
        </w:rPr>
        <w:t>que</w:t>
      </w:r>
      <w:r>
        <w:rPr>
          <w:spacing w:val="-8"/>
        </w:rPr>
        <w:t> </w:t>
      </w:r>
      <w:r>
        <w:rPr>
          <w:spacing w:val="-3"/>
        </w:rPr>
        <w:t>debieran</w:t>
      </w:r>
      <w:r>
        <w:rPr>
          <w:spacing w:val="-7"/>
        </w:rPr>
        <w:t> </w:t>
      </w:r>
      <w:r>
        <w:rPr>
          <w:spacing w:val="-3"/>
        </w:rPr>
        <w:t>reducirse.</w:t>
      </w:r>
    </w:p>
    <w:p>
      <w:pPr>
        <w:pStyle w:val="BodyText"/>
        <w:rPr>
          <w:sz w:val="22"/>
        </w:rPr>
      </w:pPr>
    </w:p>
    <w:p>
      <w:pPr>
        <w:pStyle w:val="BodyText"/>
        <w:spacing w:before="9"/>
        <w:rPr>
          <w:sz w:val="18"/>
        </w:rPr>
      </w:pPr>
    </w:p>
    <w:p>
      <w:pPr>
        <w:pStyle w:val="Heading2"/>
        <w:ind w:left="810"/>
      </w:pPr>
      <w:r>
        <w:rPr/>
        <w:t>A.6</w:t>
      </w:r>
      <w:r>
        <w:rPr>
          <w:spacing w:val="-14"/>
        </w:rPr>
        <w:t> </w:t>
      </w:r>
      <w:r>
        <w:rPr>
          <w:spacing w:val="-3"/>
        </w:rPr>
        <w:t>INVERSIONES</w:t>
      </w:r>
    </w:p>
    <w:p>
      <w:pPr>
        <w:pStyle w:val="BodyText"/>
        <w:spacing w:before="3"/>
        <w:rPr>
          <w:b/>
        </w:rPr>
      </w:pPr>
    </w:p>
    <w:p>
      <w:pPr>
        <w:pStyle w:val="BodyText"/>
        <w:ind w:left="102" w:right="1695" w:firstLine="79"/>
        <w:jc w:val="both"/>
      </w:pPr>
      <w:r>
        <w:rPr/>
        <w:t>“Anexo de las inversiones a realizar en el ejercicio”. </w:t>
      </w:r>
      <w:r>
        <w:rPr>
          <w:spacing w:val="-5"/>
        </w:rPr>
        <w:t>Tal </w:t>
      </w:r>
      <w:r>
        <w:rPr/>
        <w:t>como señala el artículo 18 del RD 500/90 éste está suscrito por el presidente de la Entidad. Como ya se ha </w:t>
      </w:r>
      <w:r>
        <w:rPr>
          <w:spacing w:val="-3"/>
        </w:rPr>
        <w:t>indicado, recoge </w:t>
      </w:r>
      <w:r>
        <w:rPr/>
        <w:t>las </w:t>
      </w:r>
      <w:r>
        <w:rPr>
          <w:spacing w:val="-3"/>
        </w:rPr>
        <w:t>inversiones </w:t>
      </w:r>
      <w:r>
        <w:rPr/>
        <w:t>a </w:t>
      </w:r>
      <w:r>
        <w:rPr>
          <w:spacing w:val="-3"/>
        </w:rPr>
        <w:t>realizar en </w:t>
      </w:r>
      <w:r>
        <w:rPr/>
        <w:t>el </w:t>
      </w:r>
      <w:r>
        <w:rPr>
          <w:spacing w:val="-3"/>
        </w:rPr>
        <w:t>ejercicio.  Señalar que están incorporados </w:t>
      </w:r>
      <w:r>
        <w:rPr/>
        <w:t>a 2023 </w:t>
      </w:r>
      <w:r>
        <w:rPr>
          <w:spacing w:val="-3"/>
        </w:rPr>
        <w:t>los remanentes </w:t>
      </w:r>
      <w:r>
        <w:rPr/>
        <w:t>de </w:t>
      </w:r>
      <w:r>
        <w:rPr>
          <w:spacing w:val="-3"/>
        </w:rPr>
        <w:t>crédito procedentes </w:t>
      </w:r>
      <w:r>
        <w:rPr/>
        <w:t>de </w:t>
      </w:r>
      <w:r>
        <w:rPr>
          <w:spacing w:val="-3"/>
        </w:rPr>
        <w:t>los préstamos </w:t>
      </w:r>
      <w:r>
        <w:rPr/>
        <w:t>de </w:t>
      </w:r>
      <w:r>
        <w:rPr>
          <w:spacing w:val="-3"/>
        </w:rPr>
        <w:t>inversión solicitados </w:t>
      </w:r>
      <w:r>
        <w:rPr/>
        <w:t>en </w:t>
      </w:r>
      <w:r>
        <w:rPr>
          <w:spacing w:val="-3"/>
        </w:rPr>
        <w:t>2014 </w:t>
      </w:r>
      <w:r>
        <w:rPr/>
        <w:t>y </w:t>
      </w:r>
      <w:r>
        <w:rPr>
          <w:spacing w:val="-3"/>
        </w:rPr>
        <w:t>2017. </w:t>
      </w:r>
      <w:r>
        <w:rPr/>
        <w:t>así </w:t>
      </w:r>
      <w:r>
        <w:rPr>
          <w:spacing w:val="-3"/>
        </w:rPr>
        <w:t>también </w:t>
      </w:r>
      <w:r>
        <w:rPr>
          <w:spacing w:val="-2"/>
        </w:rPr>
        <w:t>con </w:t>
      </w:r>
      <w:r>
        <w:rPr>
          <w:spacing w:val="-3"/>
        </w:rPr>
        <w:t>los remanentes derivados </w:t>
      </w:r>
      <w:r>
        <w:rPr>
          <w:spacing w:val="-2"/>
        </w:rPr>
        <w:t>del </w:t>
      </w:r>
      <w:r>
        <w:rPr/>
        <w:t>PMS y ya </w:t>
      </w:r>
      <w:r>
        <w:rPr>
          <w:spacing w:val="-3"/>
        </w:rPr>
        <w:t>aprobada </w:t>
      </w:r>
      <w:r>
        <w:rPr/>
        <w:t>la </w:t>
      </w:r>
      <w:r>
        <w:rPr>
          <w:spacing w:val="-3"/>
        </w:rPr>
        <w:t>liquidación </w:t>
      </w:r>
      <w:r>
        <w:rPr/>
        <w:t>de </w:t>
      </w:r>
      <w:r>
        <w:rPr>
          <w:spacing w:val="-3"/>
        </w:rPr>
        <w:t>2022 </w:t>
      </w:r>
      <w:r>
        <w:rPr/>
        <w:t>se ha </w:t>
      </w:r>
      <w:r>
        <w:rPr>
          <w:spacing w:val="-3"/>
        </w:rPr>
        <w:t>procedido </w:t>
      </w:r>
      <w:r>
        <w:rPr/>
        <w:t>a </w:t>
      </w:r>
      <w:r>
        <w:rPr>
          <w:spacing w:val="-3"/>
        </w:rPr>
        <w:t>la incorporación también </w:t>
      </w:r>
      <w:r>
        <w:rPr/>
        <w:t>de </w:t>
      </w:r>
      <w:r>
        <w:rPr>
          <w:spacing w:val="-3"/>
        </w:rPr>
        <w:t>los remanentes originados </w:t>
      </w:r>
      <w:r>
        <w:rPr/>
        <w:t>en </w:t>
      </w:r>
      <w:r>
        <w:rPr>
          <w:spacing w:val="-3"/>
        </w:rPr>
        <w:t>2022 </w:t>
      </w:r>
      <w:r>
        <w:rPr>
          <w:spacing w:val="-2"/>
        </w:rPr>
        <w:t>que </w:t>
      </w:r>
      <w:r>
        <w:rPr/>
        <w:t>se </w:t>
      </w:r>
      <w:r>
        <w:rPr>
          <w:spacing w:val="-3"/>
        </w:rPr>
        <w:t>financian con el remanente </w:t>
      </w:r>
      <w:r>
        <w:rPr/>
        <w:t>de </w:t>
      </w:r>
      <w:r>
        <w:rPr>
          <w:spacing w:val="-3"/>
        </w:rPr>
        <w:t>tesorería </w:t>
      </w:r>
      <w:r>
        <w:rPr/>
        <w:t>para </w:t>
      </w:r>
      <w:r>
        <w:rPr>
          <w:spacing w:val="-3"/>
        </w:rPr>
        <w:t>gastos</w:t>
      </w:r>
      <w:r>
        <w:rPr>
          <w:spacing w:val="-18"/>
        </w:rPr>
        <w:t> </w:t>
      </w:r>
      <w:r>
        <w:rPr>
          <w:spacing w:val="-3"/>
        </w:rPr>
        <w:t>generales.</w:t>
      </w:r>
    </w:p>
    <w:p>
      <w:pPr>
        <w:pStyle w:val="BodyText"/>
        <w:spacing w:before="5"/>
        <w:ind w:left="102" w:right="1698"/>
        <w:jc w:val="both"/>
      </w:pPr>
      <w:r>
        <w:rPr/>
        <w:t>A destacar la previsión de inversión de 77.500 euros para actuaciones en dependencias municipales y a ello hay que añadirle 12.500 para inversiones de turismo.</w:t>
      </w:r>
    </w:p>
    <w:p>
      <w:pPr>
        <w:pStyle w:val="BodyText"/>
        <w:spacing w:before="4"/>
      </w:pPr>
    </w:p>
    <w:p>
      <w:pPr>
        <w:pStyle w:val="BodyText"/>
        <w:ind w:left="102" w:right="1700"/>
        <w:jc w:val="both"/>
      </w:pPr>
      <w:r>
        <w:rPr/>
        <w:t>Señalar que los presupuestos de gastos se fiscalizan de conformidad respecto de todos los capítulos e indicar que los mismos se han ajustado a unas previsiones de ingresos que atienden a la realidad del momento económico que se atraviesa.</w:t>
      </w:r>
    </w:p>
    <w:p>
      <w:pPr>
        <w:spacing w:after="0"/>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68480"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tabs>
          <w:tab w:pos="3951" w:val="left" w:leader="none"/>
        </w:tabs>
        <w:spacing w:before="122"/>
        <w:ind w:left="747" w:right="0" w:firstLine="0"/>
        <w:jc w:val="left"/>
        <w:rPr>
          <w:b/>
          <w:sz w:val="20"/>
        </w:rPr>
      </w:pPr>
      <w:r>
        <w:rPr>
          <w:rFonts w:ascii="Calibri"/>
          <w:spacing w:val="-3"/>
          <w:sz w:val="20"/>
        </w:rPr>
        <w:t>Fax </w:t>
      </w:r>
      <w:r>
        <w:rPr>
          <w:rFonts w:ascii="Calibri"/>
          <w:sz w:val="20"/>
        </w:rPr>
        <w:t>928833549</w:t>
      </w:r>
      <w:r>
        <w:rPr>
          <w:sz w:val="20"/>
        </w:rPr>
        <w:tab/>
      </w:r>
      <w:r>
        <w:rPr>
          <w:b/>
          <w:position w:val="9"/>
          <w:sz w:val="24"/>
        </w:rPr>
        <w:t>B)</w:t>
      </w:r>
      <w:r>
        <w:rPr>
          <w:b/>
          <w:spacing w:val="1"/>
          <w:position w:val="9"/>
          <w:sz w:val="24"/>
        </w:rPr>
        <w:t> </w:t>
      </w:r>
      <w:r>
        <w:rPr>
          <w:b/>
          <w:position w:val="9"/>
          <w:sz w:val="24"/>
        </w:rPr>
        <w:t>INGRESOS</w:t>
      </w:r>
      <w:r>
        <w:rPr>
          <w:b/>
          <w:position w:val="9"/>
          <w:sz w:val="20"/>
        </w:rPr>
        <w:t>:</w:t>
      </w:r>
    </w:p>
    <w:p>
      <w:pPr>
        <w:pStyle w:val="BodyText"/>
        <w:spacing w:before="136"/>
        <w:ind w:left="102" w:right="1693"/>
        <w:jc w:val="both"/>
      </w:pPr>
      <w:r>
        <w:rPr>
          <w:b/>
        </w:rPr>
        <w:t>L</w:t>
      </w:r>
      <w:r>
        <w:rPr/>
        <w:t>a explicación de los pasos seguidos para la cuantificación de las previsiones de ingresos que integran el proyecto de presupuesto analizado en el presente Informe ya están analizadas en detalle en el Informe Económico Financiero. En relación con las indicadas previsiones de ingresos, simplemente se quiere hacer un especial hincapié en los siguientes aspectos.</w:t>
      </w:r>
    </w:p>
    <w:p>
      <w:pPr>
        <w:pStyle w:val="BodyText"/>
        <w:spacing w:before="4"/>
      </w:pPr>
    </w:p>
    <w:p>
      <w:pPr>
        <w:pStyle w:val="ListParagraph"/>
        <w:numPr>
          <w:ilvl w:val="1"/>
          <w:numId w:val="7"/>
        </w:numPr>
        <w:tabs>
          <w:tab w:pos="1214" w:val="left" w:leader="none"/>
        </w:tabs>
        <w:spacing w:line="242" w:lineRule="auto" w:before="1" w:after="0"/>
        <w:ind w:left="102" w:right="1692" w:firstLine="708"/>
        <w:jc w:val="both"/>
        <w:rPr>
          <w:sz w:val="20"/>
        </w:rPr>
      </w:pPr>
      <w:r>
        <w:rPr>
          <w:sz w:val="20"/>
        </w:rPr>
        <w:t>Las previsiones de ingresos de los Impuestos sobre Bienes Inmuebles, sobre </w:t>
      </w:r>
      <w:r>
        <w:rPr>
          <w:spacing w:val="-3"/>
          <w:sz w:val="20"/>
        </w:rPr>
        <w:t>Vehículos </w:t>
      </w:r>
      <w:r>
        <w:rPr>
          <w:sz w:val="20"/>
        </w:rPr>
        <w:t>de Tracción Mecánica y sobre Actividades Económicas, así como la de las tasas de basura, </w:t>
      </w:r>
      <w:r>
        <w:rPr>
          <w:spacing w:val="-3"/>
          <w:sz w:val="20"/>
        </w:rPr>
        <w:t>vados, toldos </w:t>
      </w:r>
      <w:r>
        <w:rPr>
          <w:sz w:val="20"/>
        </w:rPr>
        <w:t>y </w:t>
      </w:r>
      <w:r>
        <w:rPr>
          <w:spacing w:val="-3"/>
          <w:sz w:val="20"/>
        </w:rPr>
        <w:t>cajeros automáticos figuran en </w:t>
      </w:r>
      <w:r>
        <w:rPr>
          <w:sz w:val="20"/>
        </w:rPr>
        <w:t>el </w:t>
      </w:r>
      <w:r>
        <w:rPr>
          <w:spacing w:val="-3"/>
          <w:sz w:val="20"/>
        </w:rPr>
        <w:t>Presupuesto </w:t>
      </w:r>
      <w:r>
        <w:rPr>
          <w:sz w:val="20"/>
        </w:rPr>
        <w:t>en </w:t>
      </w:r>
      <w:r>
        <w:rPr>
          <w:spacing w:val="-3"/>
          <w:sz w:val="20"/>
        </w:rPr>
        <w:t>función </w:t>
      </w:r>
      <w:r>
        <w:rPr>
          <w:sz w:val="20"/>
        </w:rPr>
        <w:t>de la </w:t>
      </w:r>
      <w:r>
        <w:rPr>
          <w:spacing w:val="-3"/>
          <w:sz w:val="20"/>
        </w:rPr>
        <w:t>previsión </w:t>
      </w:r>
      <w:r>
        <w:rPr>
          <w:sz w:val="20"/>
        </w:rPr>
        <w:t>de </w:t>
      </w:r>
      <w:r>
        <w:rPr>
          <w:spacing w:val="-3"/>
          <w:sz w:val="20"/>
        </w:rPr>
        <w:t>recaudación efectiva </w:t>
      </w:r>
      <w:r>
        <w:rPr>
          <w:sz w:val="20"/>
        </w:rPr>
        <w:t>para </w:t>
      </w:r>
      <w:r>
        <w:rPr>
          <w:spacing w:val="-3"/>
          <w:sz w:val="20"/>
        </w:rPr>
        <w:t>2024 </w:t>
      </w:r>
      <w:r>
        <w:rPr>
          <w:sz w:val="20"/>
        </w:rPr>
        <w:t>de </w:t>
      </w:r>
      <w:r>
        <w:rPr>
          <w:spacing w:val="-3"/>
          <w:sz w:val="20"/>
        </w:rPr>
        <w:t>acuerdo </w:t>
      </w:r>
      <w:r>
        <w:rPr>
          <w:spacing w:val="-2"/>
          <w:sz w:val="20"/>
        </w:rPr>
        <w:t>con </w:t>
      </w:r>
      <w:r>
        <w:rPr>
          <w:sz w:val="20"/>
        </w:rPr>
        <w:t>los </w:t>
      </w:r>
      <w:r>
        <w:rPr>
          <w:spacing w:val="-3"/>
          <w:sz w:val="20"/>
        </w:rPr>
        <w:t>ingresos  efectivos producidos en </w:t>
      </w:r>
      <w:r>
        <w:rPr>
          <w:sz w:val="20"/>
        </w:rPr>
        <w:t>2023 y </w:t>
      </w:r>
      <w:r>
        <w:rPr>
          <w:spacing w:val="-3"/>
          <w:sz w:val="20"/>
        </w:rPr>
        <w:t>las estimaciones </w:t>
      </w:r>
      <w:r>
        <w:rPr>
          <w:sz w:val="20"/>
        </w:rPr>
        <w:t>de</w:t>
      </w:r>
      <w:r>
        <w:rPr>
          <w:spacing w:val="-34"/>
          <w:sz w:val="20"/>
        </w:rPr>
        <w:t> </w:t>
      </w:r>
      <w:r>
        <w:rPr>
          <w:spacing w:val="-3"/>
          <w:sz w:val="20"/>
        </w:rPr>
        <w:t>tesorería.</w:t>
      </w:r>
    </w:p>
    <w:p>
      <w:pPr>
        <w:pStyle w:val="BodyText"/>
        <w:spacing w:before="6"/>
        <w:rPr>
          <w:sz w:val="19"/>
        </w:rPr>
      </w:pPr>
    </w:p>
    <w:p>
      <w:pPr>
        <w:pStyle w:val="ListParagraph"/>
        <w:numPr>
          <w:ilvl w:val="1"/>
          <w:numId w:val="7"/>
        </w:numPr>
        <w:tabs>
          <w:tab w:pos="1212" w:val="left" w:leader="none"/>
        </w:tabs>
        <w:spacing w:line="240" w:lineRule="auto" w:before="0" w:after="0"/>
        <w:ind w:left="102" w:right="1692" w:firstLine="708"/>
        <w:jc w:val="both"/>
        <w:rPr>
          <w:sz w:val="20"/>
        </w:rPr>
      </w:pPr>
      <w:r>
        <w:rPr>
          <w:sz w:val="20"/>
        </w:rPr>
        <w:t>La </w:t>
      </w:r>
      <w:r>
        <w:rPr>
          <w:spacing w:val="-3"/>
          <w:sz w:val="20"/>
        </w:rPr>
        <w:t>consignación </w:t>
      </w:r>
      <w:r>
        <w:rPr>
          <w:sz w:val="20"/>
        </w:rPr>
        <w:t>de las </w:t>
      </w:r>
      <w:r>
        <w:rPr>
          <w:spacing w:val="-3"/>
          <w:sz w:val="20"/>
        </w:rPr>
        <w:t>previsiones </w:t>
      </w:r>
      <w:r>
        <w:rPr>
          <w:sz w:val="20"/>
        </w:rPr>
        <w:t>de </w:t>
      </w:r>
      <w:r>
        <w:rPr>
          <w:spacing w:val="-3"/>
          <w:sz w:val="20"/>
        </w:rPr>
        <w:t>ingresos </w:t>
      </w:r>
      <w:r>
        <w:rPr>
          <w:spacing w:val="-2"/>
          <w:sz w:val="20"/>
        </w:rPr>
        <w:t>por </w:t>
      </w:r>
      <w:r>
        <w:rPr>
          <w:spacing w:val="-3"/>
          <w:sz w:val="20"/>
        </w:rPr>
        <w:t>el Impuesto sobre el Incremento del </w:t>
      </w:r>
      <w:r>
        <w:rPr>
          <w:spacing w:val="-7"/>
          <w:sz w:val="20"/>
        </w:rPr>
        <w:t>Valor </w:t>
      </w:r>
      <w:r>
        <w:rPr>
          <w:sz w:val="20"/>
        </w:rPr>
        <w:t>de </w:t>
      </w:r>
      <w:r>
        <w:rPr>
          <w:spacing w:val="-3"/>
          <w:sz w:val="20"/>
        </w:rPr>
        <w:t>los </w:t>
      </w:r>
      <w:r>
        <w:rPr>
          <w:spacing w:val="-5"/>
          <w:sz w:val="20"/>
        </w:rPr>
        <w:t>Terrenos </w:t>
      </w:r>
      <w:r>
        <w:rPr>
          <w:sz w:val="20"/>
        </w:rPr>
        <w:t>de </w:t>
      </w:r>
      <w:r>
        <w:rPr>
          <w:spacing w:val="-3"/>
          <w:sz w:val="20"/>
        </w:rPr>
        <w:t>Naturaleza </w:t>
      </w:r>
      <w:r>
        <w:rPr>
          <w:sz w:val="20"/>
        </w:rPr>
        <w:t>Urbana y de </w:t>
      </w:r>
      <w:r>
        <w:rPr>
          <w:spacing w:val="-3"/>
          <w:sz w:val="20"/>
        </w:rPr>
        <w:t>los correspondientes ingresos </w:t>
      </w:r>
      <w:r>
        <w:rPr>
          <w:spacing w:val="-2"/>
          <w:sz w:val="20"/>
        </w:rPr>
        <w:t>por </w:t>
      </w:r>
      <w:r>
        <w:rPr>
          <w:spacing w:val="-3"/>
          <w:sz w:val="20"/>
        </w:rPr>
        <w:t>ICIO </w:t>
      </w:r>
      <w:r>
        <w:rPr>
          <w:sz w:val="20"/>
        </w:rPr>
        <w:t>así como </w:t>
      </w:r>
      <w:r>
        <w:rPr>
          <w:spacing w:val="-3"/>
          <w:sz w:val="20"/>
        </w:rPr>
        <w:t>las tasas </w:t>
      </w:r>
      <w:r>
        <w:rPr>
          <w:spacing w:val="-2"/>
          <w:sz w:val="20"/>
        </w:rPr>
        <w:t>por </w:t>
      </w:r>
      <w:r>
        <w:rPr>
          <w:spacing w:val="-3"/>
          <w:sz w:val="20"/>
        </w:rPr>
        <w:t>licencias tanto </w:t>
      </w:r>
      <w:r>
        <w:rPr>
          <w:sz w:val="20"/>
        </w:rPr>
        <w:t>de </w:t>
      </w:r>
      <w:r>
        <w:rPr>
          <w:spacing w:val="-3"/>
          <w:sz w:val="20"/>
        </w:rPr>
        <w:t>apertura </w:t>
      </w:r>
      <w:r>
        <w:rPr>
          <w:sz w:val="20"/>
        </w:rPr>
        <w:t>como </w:t>
      </w:r>
      <w:r>
        <w:rPr>
          <w:spacing w:val="-3"/>
          <w:sz w:val="20"/>
        </w:rPr>
        <w:t>urbanísticas, </w:t>
      </w:r>
      <w:r>
        <w:rPr>
          <w:sz w:val="20"/>
        </w:rPr>
        <w:t>y la </w:t>
      </w:r>
      <w:r>
        <w:rPr>
          <w:spacing w:val="-3"/>
          <w:sz w:val="20"/>
        </w:rPr>
        <w:t>mayoría </w:t>
      </w:r>
      <w:r>
        <w:rPr>
          <w:sz w:val="20"/>
        </w:rPr>
        <w:t>de </w:t>
      </w:r>
      <w:r>
        <w:rPr>
          <w:spacing w:val="-3"/>
          <w:sz w:val="20"/>
        </w:rPr>
        <w:t>los conceptos </w:t>
      </w:r>
      <w:r>
        <w:rPr>
          <w:sz w:val="20"/>
        </w:rPr>
        <w:t>de </w:t>
      </w:r>
      <w:r>
        <w:rPr>
          <w:spacing w:val="-3"/>
          <w:sz w:val="20"/>
        </w:rPr>
        <w:t>ingreso </w:t>
      </w:r>
      <w:r>
        <w:rPr>
          <w:sz w:val="20"/>
        </w:rPr>
        <w:t>del </w:t>
      </w:r>
      <w:r>
        <w:rPr>
          <w:spacing w:val="-3"/>
          <w:sz w:val="20"/>
        </w:rPr>
        <w:t>capítulo </w:t>
      </w:r>
      <w:r>
        <w:rPr>
          <w:sz w:val="20"/>
        </w:rPr>
        <w:t>3, </w:t>
      </w:r>
      <w:r>
        <w:rPr>
          <w:spacing w:val="-3"/>
          <w:sz w:val="20"/>
        </w:rPr>
        <w:t>figuran en </w:t>
      </w:r>
      <w:r>
        <w:rPr>
          <w:sz w:val="20"/>
        </w:rPr>
        <w:t>el </w:t>
      </w:r>
      <w:r>
        <w:rPr>
          <w:spacing w:val="-3"/>
          <w:sz w:val="20"/>
        </w:rPr>
        <w:t>Presupuesto </w:t>
      </w:r>
      <w:r>
        <w:rPr>
          <w:sz w:val="20"/>
        </w:rPr>
        <w:t>en </w:t>
      </w:r>
      <w:r>
        <w:rPr>
          <w:spacing w:val="-3"/>
          <w:sz w:val="20"/>
        </w:rPr>
        <w:t>función </w:t>
      </w:r>
      <w:r>
        <w:rPr>
          <w:spacing w:val="-2"/>
          <w:sz w:val="20"/>
        </w:rPr>
        <w:t>del </w:t>
      </w:r>
      <w:r>
        <w:rPr>
          <w:spacing w:val="-3"/>
          <w:sz w:val="20"/>
        </w:rPr>
        <w:t>importe liquidado </w:t>
      </w:r>
      <w:r>
        <w:rPr>
          <w:sz w:val="20"/>
        </w:rPr>
        <w:t>en el </w:t>
      </w:r>
      <w:r>
        <w:rPr>
          <w:spacing w:val="-3"/>
          <w:sz w:val="20"/>
        </w:rPr>
        <w:t>ejercicio 2023, según datos arrojados directamente </w:t>
      </w:r>
      <w:r>
        <w:rPr>
          <w:spacing w:val="-2"/>
          <w:sz w:val="20"/>
        </w:rPr>
        <w:t>por </w:t>
      </w:r>
      <w:r>
        <w:rPr>
          <w:sz w:val="20"/>
        </w:rPr>
        <w:t>la </w:t>
      </w:r>
      <w:r>
        <w:rPr>
          <w:spacing w:val="-3"/>
          <w:sz w:val="20"/>
        </w:rPr>
        <w:t>recaudación </w:t>
      </w:r>
      <w:r>
        <w:rPr>
          <w:sz w:val="20"/>
        </w:rPr>
        <w:t>y la </w:t>
      </w:r>
      <w:r>
        <w:rPr>
          <w:spacing w:val="-3"/>
          <w:sz w:val="20"/>
        </w:rPr>
        <w:t>contabilidad. </w:t>
      </w:r>
      <w:r>
        <w:rPr>
          <w:sz w:val="20"/>
        </w:rPr>
        <w:t>En el caso </w:t>
      </w:r>
      <w:r>
        <w:rPr>
          <w:spacing w:val="-3"/>
          <w:sz w:val="20"/>
        </w:rPr>
        <w:t>del ICIO las previsiones de ingresos </w:t>
      </w:r>
      <w:r>
        <w:rPr>
          <w:sz w:val="20"/>
        </w:rPr>
        <w:t>para el </w:t>
      </w:r>
      <w:r>
        <w:rPr>
          <w:spacing w:val="-2"/>
          <w:sz w:val="20"/>
        </w:rPr>
        <w:t>año </w:t>
      </w:r>
      <w:r>
        <w:rPr>
          <w:spacing w:val="-3"/>
          <w:sz w:val="20"/>
        </w:rPr>
        <w:t>2024 ascienden </w:t>
      </w:r>
      <w:r>
        <w:rPr>
          <w:sz w:val="20"/>
        </w:rPr>
        <w:t>a </w:t>
      </w:r>
      <w:r>
        <w:rPr>
          <w:spacing w:val="-3"/>
          <w:sz w:val="20"/>
        </w:rPr>
        <w:t>la cantidad </w:t>
      </w:r>
      <w:r>
        <w:rPr>
          <w:sz w:val="20"/>
        </w:rPr>
        <w:t>de </w:t>
      </w:r>
      <w:r>
        <w:rPr>
          <w:spacing w:val="-3"/>
          <w:sz w:val="20"/>
        </w:rPr>
        <w:t>293.000 euros </w:t>
      </w:r>
      <w:r>
        <w:rPr>
          <w:spacing w:val="-2"/>
          <w:sz w:val="20"/>
        </w:rPr>
        <w:t>una </w:t>
      </w:r>
      <w:r>
        <w:rPr>
          <w:spacing w:val="-3"/>
          <w:sz w:val="20"/>
        </w:rPr>
        <w:t>vez </w:t>
      </w:r>
      <w:r>
        <w:rPr>
          <w:sz w:val="20"/>
        </w:rPr>
        <w:t>ha sido </w:t>
      </w:r>
      <w:r>
        <w:rPr>
          <w:spacing w:val="-3"/>
          <w:sz w:val="20"/>
        </w:rPr>
        <w:t>reinstaurado </w:t>
      </w:r>
      <w:r>
        <w:rPr>
          <w:sz w:val="20"/>
        </w:rPr>
        <w:t>el</w:t>
      </w:r>
      <w:r>
        <w:rPr>
          <w:spacing w:val="-28"/>
          <w:sz w:val="20"/>
        </w:rPr>
        <w:t> </w:t>
      </w:r>
      <w:r>
        <w:rPr>
          <w:spacing w:val="-3"/>
          <w:sz w:val="20"/>
        </w:rPr>
        <w:t>tributo.</w:t>
      </w:r>
    </w:p>
    <w:p>
      <w:pPr>
        <w:pStyle w:val="BodyText"/>
        <w:spacing w:before="8"/>
        <w:ind w:left="102" w:right="1690" w:firstLine="707"/>
        <w:jc w:val="both"/>
      </w:pPr>
      <w:r>
        <w:rPr>
          <w:spacing w:val="-3"/>
        </w:rPr>
        <w:t>Las estimaciones </w:t>
      </w:r>
      <w:r>
        <w:rPr/>
        <w:t>de </w:t>
      </w:r>
      <w:r>
        <w:rPr>
          <w:spacing w:val="-3"/>
        </w:rPr>
        <w:t>ingresos </w:t>
      </w:r>
      <w:r>
        <w:rPr>
          <w:spacing w:val="-2"/>
        </w:rPr>
        <w:t>por </w:t>
      </w:r>
      <w:r>
        <w:rPr/>
        <w:t>las </w:t>
      </w:r>
      <w:r>
        <w:rPr>
          <w:spacing w:val="-3"/>
        </w:rPr>
        <w:t>participaciones </w:t>
      </w:r>
      <w:r>
        <w:rPr/>
        <w:t>en el </w:t>
      </w:r>
      <w:r>
        <w:rPr>
          <w:spacing w:val="-2"/>
        </w:rPr>
        <w:t>REF </w:t>
      </w:r>
      <w:r>
        <w:rPr/>
        <w:t>se </w:t>
      </w:r>
      <w:r>
        <w:rPr>
          <w:spacing w:val="-2"/>
        </w:rPr>
        <w:t>han </w:t>
      </w:r>
      <w:r>
        <w:rPr>
          <w:spacing w:val="-3"/>
        </w:rPr>
        <w:t>previsto </w:t>
      </w:r>
      <w:r>
        <w:rPr/>
        <w:t>de </w:t>
      </w:r>
      <w:r>
        <w:rPr>
          <w:spacing w:val="-3"/>
        </w:rPr>
        <w:t>acuerdo con </w:t>
      </w:r>
      <w:r>
        <w:rPr/>
        <w:t>las </w:t>
      </w:r>
      <w:r>
        <w:rPr>
          <w:spacing w:val="-3"/>
        </w:rPr>
        <w:t>cantidades señaladas por los propios servicios </w:t>
      </w:r>
      <w:r>
        <w:rPr/>
        <w:t>de la </w:t>
      </w:r>
      <w:r>
        <w:rPr>
          <w:spacing w:val="-3"/>
        </w:rPr>
        <w:t>Comunidad Autónoma </w:t>
      </w:r>
      <w:r>
        <w:rPr/>
        <w:t>para </w:t>
      </w:r>
      <w:r>
        <w:rPr>
          <w:spacing w:val="-3"/>
        </w:rPr>
        <w:t>el ejercicio 2024. </w:t>
      </w:r>
      <w:r>
        <w:rPr/>
        <w:t>Hay </w:t>
      </w:r>
      <w:r>
        <w:rPr>
          <w:spacing w:val="-2"/>
        </w:rPr>
        <w:t>que </w:t>
      </w:r>
      <w:r>
        <w:rPr>
          <w:spacing w:val="-3"/>
        </w:rPr>
        <w:t>hacer especial hincapié </w:t>
      </w:r>
      <w:r>
        <w:rPr/>
        <w:t>al </w:t>
      </w:r>
      <w:r>
        <w:rPr>
          <w:spacing w:val="-3"/>
        </w:rPr>
        <w:t>actual sistema </w:t>
      </w:r>
      <w:r>
        <w:rPr/>
        <w:t>de </w:t>
      </w:r>
      <w:r>
        <w:rPr>
          <w:spacing w:val="-3"/>
        </w:rPr>
        <w:t>reparto </w:t>
      </w:r>
      <w:r>
        <w:rPr>
          <w:spacing w:val="-2"/>
        </w:rPr>
        <w:t>del REF </w:t>
      </w:r>
      <w:r>
        <w:rPr>
          <w:spacing w:val="-3"/>
        </w:rPr>
        <w:t>entre los municipios </w:t>
      </w:r>
      <w:r>
        <w:rPr/>
        <w:t>de </w:t>
      </w:r>
      <w:r>
        <w:rPr>
          <w:spacing w:val="-3"/>
        </w:rPr>
        <w:t>esta isla </w:t>
      </w:r>
      <w:r>
        <w:rPr>
          <w:spacing w:val="-2"/>
        </w:rPr>
        <w:t>que </w:t>
      </w:r>
      <w:r>
        <w:rPr/>
        <w:t>a </w:t>
      </w:r>
      <w:r>
        <w:rPr>
          <w:spacing w:val="-3"/>
        </w:rPr>
        <w:t>juicio </w:t>
      </w:r>
      <w:r>
        <w:rPr/>
        <w:t>de </w:t>
      </w:r>
      <w:r>
        <w:rPr>
          <w:spacing w:val="-3"/>
        </w:rPr>
        <w:t>esta Intervención son </w:t>
      </w:r>
      <w:r>
        <w:rPr>
          <w:spacing w:val="-2"/>
        </w:rPr>
        <w:t>del </w:t>
      </w:r>
      <w:r>
        <w:rPr>
          <w:spacing w:val="-3"/>
        </w:rPr>
        <w:t>todo </w:t>
      </w:r>
      <w:r>
        <w:rPr>
          <w:spacing w:val="-3"/>
          <w:u w:val="single"/>
        </w:rPr>
        <w:t>injustos</w:t>
      </w:r>
      <w:r>
        <w:rPr>
          <w:spacing w:val="-3"/>
        </w:rPr>
        <w:t> debido </w:t>
      </w:r>
      <w:r>
        <w:rPr/>
        <w:t>a los </w:t>
      </w:r>
      <w:r>
        <w:rPr>
          <w:spacing w:val="-3"/>
        </w:rPr>
        <w:t>criterios </w:t>
      </w:r>
      <w:r>
        <w:rPr/>
        <w:t>de </w:t>
      </w:r>
      <w:r>
        <w:rPr>
          <w:spacing w:val="-3"/>
        </w:rPr>
        <w:t>distribución </w:t>
      </w:r>
      <w:r>
        <w:rPr>
          <w:spacing w:val="-2"/>
        </w:rPr>
        <w:t>por </w:t>
      </w:r>
      <w:r>
        <w:rPr/>
        <w:t>lo </w:t>
      </w:r>
      <w:r>
        <w:rPr>
          <w:spacing w:val="-2"/>
        </w:rPr>
        <w:t>que </w:t>
      </w:r>
      <w:r>
        <w:rPr/>
        <w:t>se </w:t>
      </w:r>
      <w:r>
        <w:rPr>
          <w:spacing w:val="-3"/>
        </w:rPr>
        <w:t>reitera </w:t>
      </w:r>
      <w:r>
        <w:rPr>
          <w:spacing w:val="-2"/>
        </w:rPr>
        <w:t>que </w:t>
      </w:r>
      <w:r>
        <w:rPr/>
        <w:t>se </w:t>
      </w:r>
      <w:r>
        <w:rPr>
          <w:spacing w:val="-3"/>
        </w:rPr>
        <w:t>entiende </w:t>
      </w:r>
      <w:r>
        <w:rPr>
          <w:spacing w:val="-2"/>
        </w:rPr>
        <w:t>que </w:t>
      </w:r>
      <w:r>
        <w:rPr/>
        <w:t>se </w:t>
      </w:r>
      <w:r>
        <w:rPr>
          <w:spacing w:val="-3"/>
        </w:rPr>
        <w:t>deberá abogar por parte </w:t>
      </w:r>
      <w:r>
        <w:rPr/>
        <w:t>de </w:t>
      </w:r>
      <w:r>
        <w:rPr>
          <w:spacing w:val="-3"/>
        </w:rPr>
        <w:t>la corporación </w:t>
      </w:r>
      <w:r>
        <w:rPr>
          <w:spacing w:val="-2"/>
        </w:rPr>
        <w:t>por </w:t>
      </w:r>
      <w:r>
        <w:rPr>
          <w:spacing w:val="-3"/>
        </w:rPr>
        <w:t>modificar dicho sistema </w:t>
      </w:r>
      <w:r>
        <w:rPr/>
        <w:t>de </w:t>
      </w:r>
      <w:r>
        <w:rPr>
          <w:spacing w:val="-3"/>
        </w:rPr>
        <w:t>forma urgente</w:t>
      </w:r>
    </w:p>
    <w:p>
      <w:pPr>
        <w:pStyle w:val="BodyText"/>
        <w:spacing w:before="4"/>
      </w:pPr>
    </w:p>
    <w:p>
      <w:pPr>
        <w:pStyle w:val="BodyText"/>
        <w:spacing w:line="242" w:lineRule="auto" w:before="1"/>
        <w:ind w:left="102" w:right="1695" w:firstLine="708"/>
        <w:jc w:val="both"/>
      </w:pPr>
      <w:r>
        <w:rPr/>
        <w:t>En lo </w:t>
      </w:r>
      <w:r>
        <w:rPr>
          <w:spacing w:val="-3"/>
        </w:rPr>
        <w:t>que </w:t>
      </w:r>
      <w:r>
        <w:rPr/>
        <w:t>se </w:t>
      </w:r>
      <w:r>
        <w:rPr>
          <w:spacing w:val="-3"/>
        </w:rPr>
        <w:t>refiere </w:t>
      </w:r>
      <w:r>
        <w:rPr/>
        <w:t>a lo </w:t>
      </w:r>
      <w:r>
        <w:rPr>
          <w:spacing w:val="-3"/>
        </w:rPr>
        <w:t>presupuestado </w:t>
      </w:r>
      <w:r>
        <w:rPr/>
        <w:t>en </w:t>
      </w:r>
      <w:r>
        <w:rPr>
          <w:spacing w:val="-3"/>
        </w:rPr>
        <w:t>concepto </w:t>
      </w:r>
      <w:r>
        <w:rPr/>
        <w:t>de </w:t>
      </w:r>
      <w:r>
        <w:rPr>
          <w:spacing w:val="-3"/>
        </w:rPr>
        <w:t>multas, recogiendo tanto </w:t>
      </w:r>
      <w:r>
        <w:rPr/>
        <w:t>la </w:t>
      </w:r>
      <w:r>
        <w:rPr>
          <w:spacing w:val="-3"/>
        </w:rPr>
        <w:t>disciplina urbanística </w:t>
      </w:r>
      <w:r>
        <w:rPr/>
        <w:t>como </w:t>
      </w:r>
      <w:r>
        <w:rPr>
          <w:spacing w:val="-3"/>
        </w:rPr>
        <w:t>multas </w:t>
      </w:r>
      <w:r>
        <w:rPr/>
        <w:t>de </w:t>
      </w:r>
      <w:r>
        <w:rPr>
          <w:spacing w:val="-3"/>
        </w:rPr>
        <w:t>tráfico </w:t>
      </w:r>
      <w:r>
        <w:rPr/>
        <w:t>y </w:t>
      </w:r>
      <w:r>
        <w:rPr>
          <w:spacing w:val="-3"/>
        </w:rPr>
        <w:t>otros, debemos informar que </w:t>
      </w:r>
      <w:r>
        <w:rPr/>
        <w:t>en </w:t>
      </w:r>
      <w:r>
        <w:rPr>
          <w:spacing w:val="-3"/>
        </w:rPr>
        <w:t>el ejercicio </w:t>
      </w:r>
      <w:r>
        <w:rPr/>
        <w:t>2024 se </w:t>
      </w:r>
      <w:r>
        <w:rPr>
          <w:spacing w:val="-3"/>
        </w:rPr>
        <w:t>presupuesta </w:t>
      </w:r>
      <w:r>
        <w:rPr/>
        <w:t>tal </w:t>
      </w:r>
      <w:r>
        <w:rPr>
          <w:spacing w:val="-3"/>
        </w:rPr>
        <w:t>concepto </w:t>
      </w:r>
      <w:r>
        <w:rPr>
          <w:spacing w:val="-2"/>
        </w:rPr>
        <w:t>por </w:t>
      </w:r>
      <w:r>
        <w:rPr>
          <w:spacing w:val="-3"/>
        </w:rPr>
        <w:t>la cantidad </w:t>
      </w:r>
      <w:r>
        <w:rPr>
          <w:spacing w:val="-2"/>
        </w:rPr>
        <w:t>que </w:t>
      </w:r>
      <w:r>
        <w:rPr/>
        <w:t>ha </w:t>
      </w:r>
      <w:r>
        <w:rPr>
          <w:spacing w:val="-3"/>
        </w:rPr>
        <w:t>sido liquidada efectivamente </w:t>
      </w:r>
      <w:r>
        <w:rPr/>
        <w:t>en </w:t>
      </w:r>
      <w:r>
        <w:rPr>
          <w:spacing w:val="-3"/>
        </w:rPr>
        <w:t>este ejercicio 2023 </w:t>
      </w:r>
      <w:r>
        <w:rPr>
          <w:spacing w:val="-2"/>
        </w:rPr>
        <w:t>por </w:t>
      </w:r>
      <w:r>
        <w:rPr/>
        <w:t>tal </w:t>
      </w:r>
      <w:r>
        <w:rPr>
          <w:spacing w:val="-3"/>
        </w:rPr>
        <w:t>ingreso.</w:t>
      </w:r>
    </w:p>
    <w:p>
      <w:pPr>
        <w:pStyle w:val="BodyText"/>
        <w:spacing w:before="8"/>
        <w:rPr>
          <w:sz w:val="19"/>
        </w:rPr>
      </w:pPr>
    </w:p>
    <w:p>
      <w:pPr>
        <w:pStyle w:val="BodyText"/>
        <w:ind w:left="102" w:right="1690" w:firstLine="708"/>
        <w:jc w:val="both"/>
      </w:pPr>
      <w:r>
        <w:rPr>
          <w:b/>
        </w:rPr>
        <w:t>B.4. </w:t>
      </w:r>
      <w:r>
        <w:rPr/>
        <w:t>En relación con el capítulo cuarto del presupuesto de ingresos relativo a las transferencias corrientes percibidas por el Ayuntamiento, tenemos que destacar lo siguiente:</w:t>
      </w:r>
    </w:p>
    <w:p>
      <w:pPr>
        <w:pStyle w:val="BodyText"/>
        <w:spacing w:before="4"/>
      </w:pPr>
    </w:p>
    <w:p>
      <w:pPr>
        <w:pStyle w:val="ListParagraph"/>
        <w:numPr>
          <w:ilvl w:val="0"/>
          <w:numId w:val="8"/>
        </w:numPr>
        <w:tabs>
          <w:tab w:pos="1020" w:val="left" w:leader="none"/>
        </w:tabs>
        <w:spacing w:line="240" w:lineRule="auto" w:before="0" w:after="0"/>
        <w:ind w:left="102" w:right="1693" w:firstLine="708"/>
        <w:jc w:val="both"/>
        <w:rPr>
          <w:sz w:val="20"/>
        </w:rPr>
      </w:pPr>
      <w:r>
        <w:rPr>
          <w:sz w:val="20"/>
        </w:rPr>
        <w:t>La</w:t>
      </w:r>
      <w:r>
        <w:rPr>
          <w:spacing w:val="1"/>
          <w:sz w:val="20"/>
        </w:rPr>
        <w:t> </w:t>
      </w:r>
      <w:r>
        <w:rPr>
          <w:spacing w:val="-3"/>
          <w:sz w:val="20"/>
        </w:rPr>
        <w:t>participación</w:t>
      </w:r>
      <w:r>
        <w:rPr>
          <w:spacing w:val="-6"/>
          <w:sz w:val="20"/>
        </w:rPr>
        <w:t> </w:t>
      </w:r>
      <w:r>
        <w:rPr>
          <w:sz w:val="20"/>
        </w:rPr>
        <w:t>en</w:t>
      </w:r>
      <w:r>
        <w:rPr>
          <w:spacing w:val="-5"/>
          <w:sz w:val="20"/>
        </w:rPr>
        <w:t> </w:t>
      </w:r>
      <w:r>
        <w:rPr>
          <w:spacing w:val="-3"/>
          <w:sz w:val="20"/>
        </w:rPr>
        <w:t>los</w:t>
      </w:r>
      <w:r>
        <w:rPr>
          <w:spacing w:val="-7"/>
          <w:sz w:val="20"/>
        </w:rPr>
        <w:t> </w:t>
      </w:r>
      <w:r>
        <w:rPr>
          <w:spacing w:val="-3"/>
          <w:sz w:val="20"/>
        </w:rPr>
        <w:t>tributos</w:t>
      </w:r>
      <w:r>
        <w:rPr>
          <w:spacing w:val="-8"/>
          <w:sz w:val="20"/>
        </w:rPr>
        <w:t> </w:t>
      </w:r>
      <w:r>
        <w:rPr>
          <w:sz w:val="20"/>
        </w:rPr>
        <w:t>del</w:t>
      </w:r>
      <w:r>
        <w:rPr>
          <w:spacing w:val="-6"/>
          <w:sz w:val="20"/>
        </w:rPr>
        <w:t> </w:t>
      </w:r>
      <w:r>
        <w:rPr>
          <w:spacing w:val="-3"/>
          <w:sz w:val="20"/>
        </w:rPr>
        <w:t>Estado</w:t>
      </w:r>
      <w:r>
        <w:rPr>
          <w:spacing w:val="-6"/>
          <w:sz w:val="20"/>
        </w:rPr>
        <w:t> </w:t>
      </w:r>
      <w:r>
        <w:rPr>
          <w:sz w:val="20"/>
        </w:rPr>
        <w:t>se</w:t>
      </w:r>
      <w:r>
        <w:rPr>
          <w:spacing w:val="-5"/>
          <w:sz w:val="20"/>
        </w:rPr>
        <w:t> </w:t>
      </w:r>
      <w:r>
        <w:rPr>
          <w:spacing w:val="-3"/>
          <w:sz w:val="20"/>
        </w:rPr>
        <w:t>calcula</w:t>
      </w:r>
      <w:r>
        <w:rPr>
          <w:spacing w:val="-4"/>
          <w:sz w:val="20"/>
        </w:rPr>
        <w:t> </w:t>
      </w:r>
      <w:r>
        <w:rPr>
          <w:spacing w:val="-3"/>
          <w:sz w:val="20"/>
        </w:rPr>
        <w:t>en</w:t>
      </w:r>
      <w:r>
        <w:rPr>
          <w:spacing w:val="-5"/>
          <w:sz w:val="20"/>
        </w:rPr>
        <w:t> </w:t>
      </w:r>
      <w:r>
        <w:rPr>
          <w:spacing w:val="-3"/>
          <w:sz w:val="20"/>
        </w:rPr>
        <w:t>función</w:t>
      </w:r>
      <w:r>
        <w:rPr>
          <w:spacing w:val="-6"/>
          <w:sz w:val="20"/>
        </w:rPr>
        <w:t> </w:t>
      </w:r>
      <w:r>
        <w:rPr>
          <w:sz w:val="20"/>
        </w:rPr>
        <w:t>de</w:t>
      </w:r>
      <w:r>
        <w:rPr>
          <w:spacing w:val="-5"/>
          <w:sz w:val="20"/>
        </w:rPr>
        <w:t> </w:t>
      </w:r>
      <w:r>
        <w:rPr>
          <w:sz w:val="20"/>
        </w:rPr>
        <w:t>las</w:t>
      </w:r>
      <w:r>
        <w:rPr>
          <w:spacing w:val="-7"/>
          <w:sz w:val="20"/>
        </w:rPr>
        <w:t> </w:t>
      </w:r>
      <w:r>
        <w:rPr>
          <w:spacing w:val="-3"/>
          <w:sz w:val="20"/>
        </w:rPr>
        <w:t>entregas</w:t>
      </w:r>
      <w:r>
        <w:rPr>
          <w:spacing w:val="-8"/>
          <w:sz w:val="20"/>
        </w:rPr>
        <w:t> </w:t>
      </w:r>
      <w:r>
        <w:rPr>
          <w:sz w:val="20"/>
        </w:rPr>
        <w:t>a</w:t>
      </w:r>
      <w:r>
        <w:rPr>
          <w:spacing w:val="-3"/>
          <w:sz w:val="20"/>
        </w:rPr>
        <w:t> cuenta</w:t>
      </w:r>
      <w:r>
        <w:rPr>
          <w:spacing w:val="-6"/>
          <w:sz w:val="20"/>
        </w:rPr>
        <w:t> </w:t>
      </w:r>
      <w:r>
        <w:rPr>
          <w:spacing w:val="-3"/>
          <w:sz w:val="20"/>
        </w:rPr>
        <w:t>facilitadas</w:t>
      </w:r>
      <w:r>
        <w:rPr>
          <w:spacing w:val="-4"/>
          <w:sz w:val="20"/>
        </w:rPr>
        <w:t> </w:t>
      </w:r>
      <w:r>
        <w:rPr>
          <w:spacing w:val="-3"/>
          <w:sz w:val="20"/>
        </w:rPr>
        <w:t>para</w:t>
      </w:r>
      <w:r>
        <w:rPr>
          <w:spacing w:val="-6"/>
          <w:sz w:val="20"/>
        </w:rPr>
        <w:t> </w:t>
      </w:r>
      <w:r>
        <w:rPr>
          <w:spacing w:val="-3"/>
          <w:sz w:val="20"/>
        </w:rPr>
        <w:t>este </w:t>
      </w:r>
      <w:r>
        <w:rPr>
          <w:spacing w:val="-2"/>
          <w:sz w:val="20"/>
        </w:rPr>
        <w:t>año </w:t>
      </w:r>
      <w:r>
        <w:rPr>
          <w:spacing w:val="-3"/>
          <w:sz w:val="20"/>
        </w:rPr>
        <w:t>2023 </w:t>
      </w:r>
      <w:r>
        <w:rPr>
          <w:spacing w:val="-2"/>
          <w:sz w:val="20"/>
        </w:rPr>
        <w:t>por </w:t>
      </w:r>
      <w:r>
        <w:rPr>
          <w:spacing w:val="-3"/>
          <w:sz w:val="20"/>
        </w:rPr>
        <w:t>la Dirección General </w:t>
      </w:r>
      <w:r>
        <w:rPr>
          <w:sz w:val="20"/>
        </w:rPr>
        <w:t>de </w:t>
      </w:r>
      <w:r>
        <w:rPr>
          <w:spacing w:val="-3"/>
          <w:sz w:val="20"/>
        </w:rPr>
        <w:t>Financiación </w:t>
      </w:r>
      <w:r>
        <w:rPr>
          <w:spacing w:val="-5"/>
          <w:sz w:val="20"/>
        </w:rPr>
        <w:t>Territorial </w:t>
      </w:r>
      <w:r>
        <w:rPr>
          <w:spacing w:val="-2"/>
          <w:sz w:val="20"/>
        </w:rPr>
        <w:t>del </w:t>
      </w:r>
      <w:r>
        <w:rPr>
          <w:spacing w:val="-3"/>
          <w:sz w:val="20"/>
        </w:rPr>
        <w:t>Ministerio </w:t>
      </w:r>
      <w:r>
        <w:rPr>
          <w:sz w:val="20"/>
        </w:rPr>
        <w:t>de </w:t>
      </w:r>
      <w:r>
        <w:rPr>
          <w:spacing w:val="-3"/>
          <w:sz w:val="20"/>
        </w:rPr>
        <w:t>Hacienda </w:t>
      </w:r>
      <w:r>
        <w:rPr>
          <w:sz w:val="20"/>
        </w:rPr>
        <w:t>en </w:t>
      </w:r>
      <w:r>
        <w:rPr>
          <w:spacing w:val="-3"/>
          <w:sz w:val="20"/>
        </w:rPr>
        <w:t>tanto </w:t>
      </w:r>
      <w:r>
        <w:rPr>
          <w:sz w:val="20"/>
        </w:rPr>
        <w:t>no se </w:t>
      </w:r>
      <w:r>
        <w:rPr>
          <w:spacing w:val="-3"/>
          <w:sz w:val="20"/>
        </w:rPr>
        <w:t>dispone aún </w:t>
      </w:r>
      <w:r>
        <w:rPr>
          <w:sz w:val="20"/>
        </w:rPr>
        <w:t>de la</w:t>
      </w:r>
      <w:r>
        <w:rPr>
          <w:spacing w:val="-8"/>
          <w:sz w:val="20"/>
        </w:rPr>
        <w:t> </w:t>
      </w:r>
      <w:r>
        <w:rPr>
          <w:spacing w:val="-3"/>
          <w:sz w:val="20"/>
        </w:rPr>
        <w:t>previsión</w:t>
      </w:r>
      <w:r>
        <w:rPr>
          <w:spacing w:val="-6"/>
          <w:sz w:val="20"/>
        </w:rPr>
        <w:t> </w:t>
      </w:r>
      <w:r>
        <w:rPr>
          <w:sz w:val="20"/>
        </w:rPr>
        <w:t>de</w:t>
      </w:r>
      <w:r>
        <w:rPr>
          <w:spacing w:val="-4"/>
          <w:sz w:val="20"/>
        </w:rPr>
        <w:t> </w:t>
      </w:r>
      <w:r>
        <w:rPr>
          <w:spacing w:val="-3"/>
          <w:sz w:val="20"/>
        </w:rPr>
        <w:t>las</w:t>
      </w:r>
      <w:r>
        <w:rPr>
          <w:spacing w:val="-6"/>
          <w:sz w:val="20"/>
        </w:rPr>
        <w:t> </w:t>
      </w:r>
      <w:r>
        <w:rPr>
          <w:spacing w:val="-3"/>
          <w:sz w:val="20"/>
        </w:rPr>
        <w:t>entregas</w:t>
      </w:r>
      <w:r>
        <w:rPr>
          <w:spacing w:val="-6"/>
          <w:sz w:val="20"/>
        </w:rPr>
        <w:t> </w:t>
      </w:r>
      <w:r>
        <w:rPr>
          <w:sz w:val="20"/>
        </w:rPr>
        <w:t>a</w:t>
      </w:r>
      <w:r>
        <w:rPr>
          <w:spacing w:val="-7"/>
          <w:sz w:val="20"/>
        </w:rPr>
        <w:t> </w:t>
      </w:r>
      <w:r>
        <w:rPr>
          <w:spacing w:val="-3"/>
          <w:sz w:val="20"/>
        </w:rPr>
        <w:t>cuenta</w:t>
      </w:r>
      <w:r>
        <w:rPr>
          <w:spacing w:val="-7"/>
          <w:sz w:val="20"/>
        </w:rPr>
        <w:t> </w:t>
      </w:r>
      <w:r>
        <w:rPr>
          <w:sz w:val="20"/>
        </w:rPr>
        <w:t>para</w:t>
      </w:r>
      <w:r>
        <w:rPr>
          <w:spacing w:val="-7"/>
          <w:sz w:val="20"/>
        </w:rPr>
        <w:t> </w:t>
      </w:r>
      <w:r>
        <w:rPr>
          <w:spacing w:val="-3"/>
          <w:sz w:val="20"/>
        </w:rPr>
        <w:t>2024.</w:t>
      </w:r>
    </w:p>
    <w:p>
      <w:pPr>
        <w:pStyle w:val="BodyText"/>
        <w:spacing w:before="4"/>
      </w:pPr>
    </w:p>
    <w:p>
      <w:pPr>
        <w:pStyle w:val="ListParagraph"/>
        <w:numPr>
          <w:ilvl w:val="0"/>
          <w:numId w:val="8"/>
        </w:numPr>
        <w:tabs>
          <w:tab w:pos="1036" w:val="left" w:leader="none"/>
        </w:tabs>
        <w:spacing w:line="240" w:lineRule="auto" w:before="0" w:after="0"/>
        <w:ind w:left="102" w:right="1696" w:firstLine="708"/>
        <w:jc w:val="both"/>
        <w:rPr>
          <w:sz w:val="20"/>
        </w:rPr>
      </w:pPr>
      <w:r>
        <w:rPr>
          <w:spacing w:val="-2"/>
          <w:sz w:val="20"/>
        </w:rPr>
        <w:t>Las </w:t>
      </w:r>
      <w:r>
        <w:rPr>
          <w:spacing w:val="-3"/>
          <w:sz w:val="20"/>
        </w:rPr>
        <w:t>estimaciones </w:t>
      </w:r>
      <w:r>
        <w:rPr>
          <w:sz w:val="20"/>
        </w:rPr>
        <w:t>de </w:t>
      </w:r>
      <w:r>
        <w:rPr>
          <w:spacing w:val="-3"/>
          <w:sz w:val="20"/>
        </w:rPr>
        <w:t>ingresos </w:t>
      </w:r>
      <w:r>
        <w:rPr>
          <w:spacing w:val="-2"/>
          <w:sz w:val="20"/>
        </w:rPr>
        <w:t>por </w:t>
      </w:r>
      <w:r>
        <w:rPr>
          <w:sz w:val="20"/>
        </w:rPr>
        <w:t>el </w:t>
      </w:r>
      <w:r>
        <w:rPr>
          <w:spacing w:val="-3"/>
          <w:sz w:val="20"/>
        </w:rPr>
        <w:t>Fondo Canario </w:t>
      </w:r>
      <w:r>
        <w:rPr>
          <w:sz w:val="20"/>
        </w:rPr>
        <w:t>de </w:t>
      </w:r>
      <w:r>
        <w:rPr>
          <w:spacing w:val="-3"/>
          <w:sz w:val="20"/>
        </w:rPr>
        <w:t>Financiación Municipal </w:t>
      </w:r>
      <w:r>
        <w:rPr>
          <w:sz w:val="20"/>
        </w:rPr>
        <w:t>se ha </w:t>
      </w:r>
      <w:r>
        <w:rPr>
          <w:spacing w:val="-3"/>
          <w:sz w:val="20"/>
        </w:rPr>
        <w:t>previsto </w:t>
      </w:r>
      <w:r>
        <w:rPr>
          <w:sz w:val="20"/>
        </w:rPr>
        <w:t>de </w:t>
      </w:r>
      <w:r>
        <w:rPr>
          <w:spacing w:val="-3"/>
          <w:sz w:val="20"/>
        </w:rPr>
        <w:t>acuerdo </w:t>
      </w:r>
      <w:r>
        <w:rPr>
          <w:spacing w:val="-2"/>
          <w:sz w:val="20"/>
        </w:rPr>
        <w:t>con</w:t>
      </w:r>
      <w:r>
        <w:rPr>
          <w:spacing w:val="-7"/>
          <w:sz w:val="20"/>
        </w:rPr>
        <w:t> </w:t>
      </w:r>
      <w:r>
        <w:rPr>
          <w:sz w:val="20"/>
        </w:rPr>
        <w:t>las</w:t>
      </w:r>
      <w:r>
        <w:rPr>
          <w:spacing w:val="-7"/>
          <w:sz w:val="20"/>
        </w:rPr>
        <w:t> </w:t>
      </w:r>
      <w:r>
        <w:rPr>
          <w:spacing w:val="-3"/>
          <w:sz w:val="20"/>
        </w:rPr>
        <w:t>cantidades</w:t>
      </w:r>
      <w:r>
        <w:rPr>
          <w:spacing w:val="-7"/>
          <w:sz w:val="20"/>
        </w:rPr>
        <w:t> </w:t>
      </w:r>
      <w:r>
        <w:rPr>
          <w:spacing w:val="-3"/>
          <w:sz w:val="20"/>
        </w:rPr>
        <w:t>señaladas</w:t>
      </w:r>
      <w:r>
        <w:rPr>
          <w:spacing w:val="-7"/>
          <w:sz w:val="20"/>
        </w:rPr>
        <w:t> </w:t>
      </w:r>
      <w:r>
        <w:rPr>
          <w:spacing w:val="-2"/>
          <w:sz w:val="20"/>
        </w:rPr>
        <w:t>por</w:t>
      </w:r>
      <w:r>
        <w:rPr>
          <w:spacing w:val="-6"/>
          <w:sz w:val="20"/>
        </w:rPr>
        <w:t> </w:t>
      </w:r>
      <w:r>
        <w:rPr>
          <w:spacing w:val="-3"/>
          <w:sz w:val="20"/>
        </w:rPr>
        <w:t>los</w:t>
      </w:r>
      <w:r>
        <w:rPr>
          <w:spacing w:val="-7"/>
          <w:sz w:val="20"/>
        </w:rPr>
        <w:t> </w:t>
      </w:r>
      <w:r>
        <w:rPr>
          <w:spacing w:val="-3"/>
          <w:sz w:val="20"/>
        </w:rPr>
        <w:t>propios</w:t>
      </w:r>
      <w:r>
        <w:rPr>
          <w:spacing w:val="-7"/>
          <w:sz w:val="20"/>
        </w:rPr>
        <w:t> </w:t>
      </w:r>
      <w:r>
        <w:rPr>
          <w:spacing w:val="-3"/>
          <w:sz w:val="20"/>
        </w:rPr>
        <w:t>servicios</w:t>
      </w:r>
      <w:r>
        <w:rPr>
          <w:spacing w:val="-7"/>
          <w:sz w:val="20"/>
        </w:rPr>
        <w:t> </w:t>
      </w:r>
      <w:r>
        <w:rPr>
          <w:sz w:val="20"/>
        </w:rPr>
        <w:t>de</w:t>
      </w:r>
      <w:r>
        <w:rPr>
          <w:spacing w:val="-8"/>
          <w:sz w:val="20"/>
        </w:rPr>
        <w:t> </w:t>
      </w:r>
      <w:r>
        <w:rPr>
          <w:sz w:val="20"/>
        </w:rPr>
        <w:t>la</w:t>
      </w:r>
      <w:r>
        <w:rPr>
          <w:spacing w:val="-5"/>
          <w:sz w:val="20"/>
        </w:rPr>
        <w:t> </w:t>
      </w:r>
      <w:r>
        <w:rPr>
          <w:spacing w:val="-3"/>
          <w:sz w:val="20"/>
        </w:rPr>
        <w:t>Comunidad</w:t>
      </w:r>
      <w:r>
        <w:rPr>
          <w:spacing w:val="-18"/>
          <w:sz w:val="20"/>
        </w:rPr>
        <w:t> </w:t>
      </w:r>
      <w:r>
        <w:rPr>
          <w:spacing w:val="-3"/>
          <w:sz w:val="20"/>
        </w:rPr>
        <w:t>Autónoma</w:t>
      </w:r>
      <w:r>
        <w:rPr>
          <w:spacing w:val="-8"/>
          <w:sz w:val="20"/>
        </w:rPr>
        <w:t> </w:t>
      </w:r>
      <w:r>
        <w:rPr>
          <w:sz w:val="20"/>
        </w:rPr>
        <w:t>para</w:t>
      </w:r>
      <w:r>
        <w:rPr>
          <w:spacing w:val="-5"/>
          <w:sz w:val="20"/>
        </w:rPr>
        <w:t> </w:t>
      </w:r>
      <w:r>
        <w:rPr>
          <w:spacing w:val="-3"/>
          <w:sz w:val="20"/>
        </w:rPr>
        <w:t>el</w:t>
      </w:r>
      <w:r>
        <w:rPr>
          <w:spacing w:val="-6"/>
          <w:sz w:val="20"/>
        </w:rPr>
        <w:t> </w:t>
      </w:r>
      <w:r>
        <w:rPr>
          <w:spacing w:val="-3"/>
          <w:sz w:val="20"/>
        </w:rPr>
        <w:t>ejercicio</w:t>
      </w:r>
      <w:r>
        <w:rPr>
          <w:spacing w:val="-6"/>
          <w:sz w:val="20"/>
        </w:rPr>
        <w:t> </w:t>
      </w:r>
      <w:r>
        <w:rPr>
          <w:spacing w:val="-3"/>
          <w:sz w:val="20"/>
        </w:rPr>
        <w:t>2024.</w:t>
      </w:r>
    </w:p>
    <w:p>
      <w:pPr>
        <w:pStyle w:val="BodyText"/>
        <w:spacing w:before="3"/>
      </w:pPr>
    </w:p>
    <w:p>
      <w:pPr>
        <w:pStyle w:val="ListParagraph"/>
        <w:numPr>
          <w:ilvl w:val="0"/>
          <w:numId w:val="8"/>
        </w:numPr>
        <w:tabs>
          <w:tab w:pos="1039" w:val="left" w:leader="none"/>
        </w:tabs>
        <w:spacing w:line="240" w:lineRule="auto" w:before="1" w:after="0"/>
        <w:ind w:left="102" w:right="1694" w:firstLine="708"/>
        <w:jc w:val="both"/>
        <w:rPr>
          <w:sz w:val="20"/>
        </w:rPr>
      </w:pPr>
      <w:r>
        <w:rPr>
          <w:sz w:val="20"/>
        </w:rPr>
        <w:t>En lo </w:t>
      </w:r>
      <w:r>
        <w:rPr>
          <w:spacing w:val="-2"/>
          <w:sz w:val="20"/>
        </w:rPr>
        <w:t>que </w:t>
      </w:r>
      <w:r>
        <w:rPr>
          <w:sz w:val="20"/>
        </w:rPr>
        <w:t>se </w:t>
      </w:r>
      <w:r>
        <w:rPr>
          <w:spacing w:val="-3"/>
          <w:sz w:val="20"/>
        </w:rPr>
        <w:t>refiere </w:t>
      </w:r>
      <w:r>
        <w:rPr>
          <w:sz w:val="20"/>
        </w:rPr>
        <w:t>a las </w:t>
      </w:r>
      <w:r>
        <w:rPr>
          <w:spacing w:val="-3"/>
          <w:sz w:val="20"/>
        </w:rPr>
        <w:t>subvenciones restantes, las mismas </w:t>
      </w:r>
      <w:r>
        <w:rPr>
          <w:sz w:val="20"/>
        </w:rPr>
        <w:t>se </w:t>
      </w:r>
      <w:r>
        <w:rPr>
          <w:spacing w:val="-3"/>
          <w:sz w:val="20"/>
        </w:rPr>
        <w:t>han presupuestado </w:t>
      </w:r>
      <w:r>
        <w:rPr>
          <w:sz w:val="20"/>
        </w:rPr>
        <w:t>de </w:t>
      </w:r>
      <w:r>
        <w:rPr>
          <w:spacing w:val="-3"/>
          <w:sz w:val="20"/>
        </w:rPr>
        <w:t>acuerdo </w:t>
      </w:r>
      <w:r>
        <w:rPr>
          <w:spacing w:val="-2"/>
          <w:sz w:val="20"/>
        </w:rPr>
        <w:t>con </w:t>
      </w:r>
      <w:r>
        <w:rPr>
          <w:spacing w:val="-3"/>
          <w:sz w:val="20"/>
        </w:rPr>
        <w:t>los compromisos firmes </w:t>
      </w:r>
      <w:r>
        <w:rPr>
          <w:sz w:val="20"/>
        </w:rPr>
        <w:t>de </w:t>
      </w:r>
      <w:r>
        <w:rPr>
          <w:spacing w:val="-3"/>
          <w:sz w:val="20"/>
        </w:rPr>
        <w:t>aportación. </w:t>
      </w:r>
      <w:r>
        <w:rPr>
          <w:sz w:val="20"/>
        </w:rPr>
        <w:t>Se </w:t>
      </w:r>
      <w:r>
        <w:rPr>
          <w:spacing w:val="-3"/>
          <w:sz w:val="20"/>
        </w:rPr>
        <w:t>sigue </w:t>
      </w:r>
      <w:r>
        <w:rPr>
          <w:spacing w:val="-2"/>
          <w:sz w:val="20"/>
        </w:rPr>
        <w:t>así </w:t>
      </w:r>
      <w:r>
        <w:rPr>
          <w:sz w:val="20"/>
        </w:rPr>
        <w:t>de </w:t>
      </w:r>
      <w:r>
        <w:rPr>
          <w:spacing w:val="-3"/>
          <w:sz w:val="20"/>
        </w:rPr>
        <w:t>forma </w:t>
      </w:r>
      <w:r>
        <w:rPr>
          <w:sz w:val="20"/>
        </w:rPr>
        <w:t>fiel el </w:t>
      </w:r>
      <w:r>
        <w:rPr>
          <w:spacing w:val="-3"/>
          <w:sz w:val="20"/>
        </w:rPr>
        <w:t>criterio </w:t>
      </w:r>
      <w:r>
        <w:rPr>
          <w:sz w:val="20"/>
        </w:rPr>
        <w:t>de </w:t>
      </w:r>
      <w:r>
        <w:rPr>
          <w:spacing w:val="-3"/>
          <w:sz w:val="20"/>
        </w:rPr>
        <w:t>prudencia necesario para presupuestar estos ingresos,</w:t>
      </w:r>
      <w:r>
        <w:rPr>
          <w:spacing w:val="-8"/>
          <w:sz w:val="20"/>
        </w:rPr>
        <w:t> </w:t>
      </w:r>
      <w:r>
        <w:rPr>
          <w:sz w:val="20"/>
        </w:rPr>
        <w:t>tal</w:t>
      </w:r>
      <w:r>
        <w:rPr>
          <w:spacing w:val="-7"/>
          <w:sz w:val="20"/>
        </w:rPr>
        <w:t> </w:t>
      </w:r>
      <w:r>
        <w:rPr>
          <w:sz w:val="20"/>
        </w:rPr>
        <w:t>y</w:t>
      </w:r>
      <w:r>
        <w:rPr>
          <w:spacing w:val="-6"/>
          <w:sz w:val="20"/>
        </w:rPr>
        <w:t> </w:t>
      </w:r>
      <w:r>
        <w:rPr>
          <w:sz w:val="20"/>
        </w:rPr>
        <w:t>como</w:t>
      </w:r>
      <w:r>
        <w:rPr>
          <w:spacing w:val="-6"/>
          <w:sz w:val="20"/>
        </w:rPr>
        <w:t> </w:t>
      </w:r>
      <w:r>
        <w:rPr>
          <w:spacing w:val="-3"/>
          <w:sz w:val="20"/>
        </w:rPr>
        <w:t>exige</w:t>
      </w:r>
      <w:r>
        <w:rPr>
          <w:spacing w:val="-4"/>
          <w:sz w:val="20"/>
        </w:rPr>
        <w:t> </w:t>
      </w:r>
      <w:r>
        <w:rPr>
          <w:sz w:val="20"/>
        </w:rPr>
        <w:t>la</w:t>
      </w:r>
      <w:r>
        <w:rPr>
          <w:spacing w:val="-8"/>
          <w:sz w:val="20"/>
        </w:rPr>
        <w:t> </w:t>
      </w:r>
      <w:r>
        <w:rPr>
          <w:spacing w:val="-3"/>
          <w:sz w:val="20"/>
        </w:rPr>
        <w:t>legislación</w:t>
      </w:r>
      <w:r>
        <w:rPr>
          <w:spacing w:val="-6"/>
          <w:sz w:val="20"/>
        </w:rPr>
        <w:t> </w:t>
      </w:r>
      <w:r>
        <w:rPr>
          <w:sz w:val="20"/>
        </w:rPr>
        <w:t>al</w:t>
      </w:r>
      <w:r>
        <w:rPr>
          <w:spacing w:val="-7"/>
          <w:sz w:val="20"/>
        </w:rPr>
        <w:t> </w:t>
      </w:r>
      <w:r>
        <w:rPr>
          <w:spacing w:val="-3"/>
          <w:sz w:val="20"/>
        </w:rPr>
        <w:t>efecto.</w:t>
      </w:r>
    </w:p>
    <w:p>
      <w:pPr>
        <w:pStyle w:val="BodyText"/>
        <w:spacing w:before="3"/>
      </w:pPr>
    </w:p>
    <w:p>
      <w:pPr>
        <w:pStyle w:val="ListParagraph"/>
        <w:numPr>
          <w:ilvl w:val="0"/>
          <w:numId w:val="8"/>
        </w:numPr>
        <w:tabs>
          <w:tab w:pos="1032" w:val="left" w:leader="none"/>
        </w:tabs>
        <w:spacing w:line="240" w:lineRule="auto" w:before="1" w:after="0"/>
        <w:ind w:left="102" w:right="1691" w:firstLine="707"/>
        <w:jc w:val="both"/>
        <w:rPr>
          <w:sz w:val="20"/>
        </w:rPr>
      </w:pPr>
      <w:r>
        <w:rPr>
          <w:spacing w:val="-3"/>
          <w:sz w:val="20"/>
        </w:rPr>
        <w:t>Respecto </w:t>
      </w:r>
      <w:r>
        <w:rPr>
          <w:sz w:val="20"/>
        </w:rPr>
        <w:t>del </w:t>
      </w:r>
      <w:r>
        <w:rPr>
          <w:spacing w:val="-3"/>
          <w:sz w:val="20"/>
        </w:rPr>
        <w:t>producto </w:t>
      </w:r>
      <w:r>
        <w:rPr>
          <w:sz w:val="20"/>
        </w:rPr>
        <w:t>de </w:t>
      </w:r>
      <w:r>
        <w:rPr>
          <w:spacing w:val="-3"/>
          <w:sz w:val="20"/>
        </w:rPr>
        <w:t>los arrendamientos </w:t>
      </w:r>
      <w:r>
        <w:rPr>
          <w:sz w:val="20"/>
        </w:rPr>
        <w:t>y </w:t>
      </w:r>
      <w:r>
        <w:rPr>
          <w:spacing w:val="-3"/>
          <w:sz w:val="20"/>
        </w:rPr>
        <w:t>concesiones </w:t>
      </w:r>
      <w:r>
        <w:rPr>
          <w:spacing w:val="-2"/>
          <w:sz w:val="20"/>
        </w:rPr>
        <w:t>que </w:t>
      </w:r>
      <w:r>
        <w:rPr>
          <w:spacing w:val="-3"/>
          <w:sz w:val="20"/>
        </w:rPr>
        <w:t>mantiene vigentes el ayuntamiento, </w:t>
      </w:r>
      <w:r>
        <w:rPr>
          <w:sz w:val="20"/>
        </w:rPr>
        <w:t>en </w:t>
      </w:r>
      <w:r>
        <w:rPr>
          <w:spacing w:val="-3"/>
          <w:sz w:val="20"/>
        </w:rPr>
        <w:t>lo </w:t>
      </w:r>
      <w:r>
        <w:rPr>
          <w:spacing w:val="-2"/>
          <w:sz w:val="20"/>
        </w:rPr>
        <w:t>que </w:t>
      </w:r>
      <w:r>
        <w:rPr>
          <w:sz w:val="20"/>
        </w:rPr>
        <w:t>se </w:t>
      </w:r>
      <w:r>
        <w:rPr>
          <w:spacing w:val="-3"/>
          <w:sz w:val="20"/>
        </w:rPr>
        <w:t>refiere </w:t>
      </w:r>
      <w:r>
        <w:rPr>
          <w:sz w:val="20"/>
        </w:rPr>
        <w:t>a las </w:t>
      </w:r>
      <w:r>
        <w:rPr>
          <w:spacing w:val="-3"/>
          <w:sz w:val="20"/>
        </w:rPr>
        <w:t>previsiones </w:t>
      </w:r>
      <w:r>
        <w:rPr>
          <w:sz w:val="20"/>
        </w:rPr>
        <w:t>de </w:t>
      </w:r>
      <w:r>
        <w:rPr>
          <w:spacing w:val="-3"/>
          <w:sz w:val="20"/>
        </w:rPr>
        <w:t>ingresos </w:t>
      </w:r>
      <w:r>
        <w:rPr>
          <w:sz w:val="20"/>
        </w:rPr>
        <w:t>del </w:t>
      </w:r>
      <w:r>
        <w:rPr>
          <w:spacing w:val="-3"/>
          <w:sz w:val="20"/>
        </w:rPr>
        <w:t>capítulo quinto, indicar </w:t>
      </w:r>
      <w:r>
        <w:rPr>
          <w:spacing w:val="-2"/>
          <w:sz w:val="20"/>
        </w:rPr>
        <w:t>que </w:t>
      </w:r>
      <w:r>
        <w:rPr>
          <w:spacing w:val="-3"/>
          <w:sz w:val="20"/>
        </w:rPr>
        <w:t>las mismas </w:t>
      </w:r>
      <w:r>
        <w:rPr>
          <w:sz w:val="20"/>
        </w:rPr>
        <w:t>son </w:t>
      </w:r>
      <w:r>
        <w:rPr>
          <w:spacing w:val="-3"/>
          <w:sz w:val="20"/>
        </w:rPr>
        <w:t>reales </w:t>
      </w:r>
      <w:r>
        <w:rPr>
          <w:sz w:val="20"/>
        </w:rPr>
        <w:t>y cabe </w:t>
      </w:r>
      <w:r>
        <w:rPr>
          <w:spacing w:val="-3"/>
          <w:sz w:val="20"/>
        </w:rPr>
        <w:t>indicar que  algunas cuantías </w:t>
      </w:r>
      <w:r>
        <w:rPr>
          <w:sz w:val="20"/>
        </w:rPr>
        <w:t>se </w:t>
      </w:r>
      <w:r>
        <w:rPr>
          <w:spacing w:val="-3"/>
          <w:sz w:val="20"/>
        </w:rPr>
        <w:t>están intentando percibir por el departamento </w:t>
      </w:r>
      <w:r>
        <w:rPr>
          <w:sz w:val="20"/>
        </w:rPr>
        <w:t>de </w:t>
      </w:r>
      <w:r>
        <w:rPr>
          <w:spacing w:val="-3"/>
          <w:sz w:val="20"/>
        </w:rPr>
        <w:t>recaudación. </w:t>
      </w:r>
      <w:r>
        <w:rPr>
          <w:sz w:val="20"/>
        </w:rPr>
        <w:t>Se han </w:t>
      </w:r>
      <w:r>
        <w:rPr>
          <w:spacing w:val="-3"/>
          <w:sz w:val="20"/>
        </w:rPr>
        <w:t>ajustado </w:t>
      </w:r>
      <w:r>
        <w:rPr>
          <w:sz w:val="20"/>
        </w:rPr>
        <w:t>los </w:t>
      </w:r>
      <w:r>
        <w:rPr>
          <w:spacing w:val="-3"/>
          <w:sz w:val="20"/>
        </w:rPr>
        <w:t>importes </w:t>
      </w:r>
      <w:r>
        <w:rPr>
          <w:sz w:val="20"/>
        </w:rPr>
        <w:t>a lo </w:t>
      </w:r>
      <w:r>
        <w:rPr>
          <w:spacing w:val="-3"/>
          <w:sz w:val="20"/>
        </w:rPr>
        <w:t>liquidado durante </w:t>
      </w:r>
      <w:r>
        <w:rPr>
          <w:sz w:val="20"/>
        </w:rPr>
        <w:t>el </w:t>
      </w:r>
      <w:r>
        <w:rPr>
          <w:spacing w:val="-3"/>
          <w:sz w:val="20"/>
        </w:rPr>
        <w:t>2023 </w:t>
      </w:r>
      <w:r>
        <w:rPr>
          <w:sz w:val="20"/>
        </w:rPr>
        <w:t>y </w:t>
      </w:r>
      <w:r>
        <w:rPr>
          <w:spacing w:val="-3"/>
          <w:sz w:val="20"/>
        </w:rPr>
        <w:t>alguna previsión </w:t>
      </w:r>
      <w:r>
        <w:rPr>
          <w:sz w:val="20"/>
        </w:rPr>
        <w:t>para</w:t>
      </w:r>
      <w:r>
        <w:rPr>
          <w:spacing w:val="-33"/>
          <w:sz w:val="20"/>
        </w:rPr>
        <w:t> </w:t>
      </w:r>
      <w:r>
        <w:rPr>
          <w:spacing w:val="-3"/>
          <w:sz w:val="20"/>
        </w:rPr>
        <w:t>2024.</w:t>
      </w:r>
    </w:p>
    <w:p>
      <w:pPr>
        <w:pStyle w:val="BodyText"/>
        <w:spacing w:before="4"/>
        <w:ind w:left="102" w:right="1690" w:firstLine="708"/>
        <w:jc w:val="both"/>
      </w:pPr>
      <w:r>
        <w:rPr/>
        <w:t>Se </w:t>
      </w:r>
      <w:r>
        <w:rPr>
          <w:spacing w:val="-3"/>
        </w:rPr>
        <w:t>incide </w:t>
      </w:r>
      <w:r>
        <w:rPr/>
        <w:t>en </w:t>
      </w:r>
      <w:r>
        <w:rPr>
          <w:spacing w:val="-3"/>
        </w:rPr>
        <w:t>este campo </w:t>
      </w:r>
      <w:r>
        <w:rPr/>
        <w:t>de </w:t>
      </w:r>
      <w:r>
        <w:rPr>
          <w:spacing w:val="-3"/>
        </w:rPr>
        <w:t>patrimonio municipal en </w:t>
      </w:r>
      <w:r>
        <w:rPr>
          <w:spacing w:val="-2"/>
        </w:rPr>
        <w:t>que </w:t>
      </w:r>
      <w:r>
        <w:rPr>
          <w:spacing w:val="-3"/>
        </w:rPr>
        <w:t>existe falta </w:t>
      </w:r>
      <w:r>
        <w:rPr/>
        <w:t>de </w:t>
      </w:r>
      <w:r>
        <w:rPr>
          <w:spacing w:val="-3"/>
        </w:rPr>
        <w:t>control </w:t>
      </w:r>
      <w:r>
        <w:rPr>
          <w:spacing w:val="-2"/>
        </w:rPr>
        <w:t>por </w:t>
      </w:r>
      <w:r>
        <w:rPr>
          <w:spacing w:val="-3"/>
        </w:rPr>
        <w:t>parte </w:t>
      </w:r>
      <w:r>
        <w:rPr/>
        <w:t>de </w:t>
      </w:r>
      <w:r>
        <w:rPr>
          <w:spacing w:val="-3"/>
        </w:rPr>
        <w:t>corporación, tanto </w:t>
      </w:r>
      <w:r>
        <w:rPr/>
        <w:t>en </w:t>
      </w:r>
      <w:r>
        <w:rPr>
          <w:spacing w:val="-3"/>
        </w:rPr>
        <w:t>cuanto </w:t>
      </w:r>
      <w:r>
        <w:rPr/>
        <w:t>a </w:t>
      </w:r>
      <w:r>
        <w:rPr>
          <w:spacing w:val="-3"/>
        </w:rPr>
        <w:t>los usos </w:t>
      </w:r>
      <w:r>
        <w:rPr/>
        <w:t>y </w:t>
      </w:r>
      <w:r>
        <w:rPr>
          <w:spacing w:val="-3"/>
        </w:rPr>
        <w:t>ocupaciones, recuperaciones </w:t>
      </w:r>
      <w:r>
        <w:rPr/>
        <w:t>de </w:t>
      </w:r>
      <w:r>
        <w:rPr>
          <w:spacing w:val="-3"/>
        </w:rPr>
        <w:t>posesiones en determinados casos, </w:t>
      </w:r>
      <w:r>
        <w:rPr/>
        <w:t>la </w:t>
      </w:r>
      <w:r>
        <w:rPr>
          <w:spacing w:val="-3"/>
        </w:rPr>
        <w:t>necesidad </w:t>
      </w:r>
      <w:r>
        <w:rPr/>
        <w:t>de </w:t>
      </w:r>
      <w:r>
        <w:rPr>
          <w:spacing w:val="-3"/>
        </w:rPr>
        <w:t>licitación </w:t>
      </w:r>
      <w:r>
        <w:rPr/>
        <w:t>de </w:t>
      </w:r>
      <w:r>
        <w:rPr>
          <w:spacing w:val="-3"/>
        </w:rPr>
        <w:t>numerosos bienes </w:t>
      </w:r>
      <w:r>
        <w:rPr/>
        <w:t>y un </w:t>
      </w:r>
      <w:r>
        <w:rPr>
          <w:spacing w:val="-3"/>
        </w:rPr>
        <w:t>control </w:t>
      </w:r>
      <w:r>
        <w:rPr/>
        <w:t>y </w:t>
      </w:r>
      <w:r>
        <w:rPr>
          <w:spacing w:val="-3"/>
        </w:rPr>
        <w:t>seguimiento específico </w:t>
      </w:r>
      <w:r>
        <w:rPr/>
        <w:t>de los </w:t>
      </w:r>
      <w:r>
        <w:rPr>
          <w:spacing w:val="-3"/>
        </w:rPr>
        <w:t>rendimientos </w:t>
      </w:r>
      <w:r>
        <w:rPr/>
        <w:t>de </w:t>
      </w:r>
      <w:r>
        <w:rPr>
          <w:spacing w:val="-3"/>
        </w:rPr>
        <w:t>dicho patrimonio.</w:t>
      </w:r>
    </w:p>
    <w:p>
      <w:pPr>
        <w:pStyle w:val="BodyText"/>
        <w:spacing w:before="4"/>
      </w:pPr>
    </w:p>
    <w:p>
      <w:pPr>
        <w:pStyle w:val="BodyText"/>
        <w:ind w:left="810"/>
      </w:pPr>
      <w:r>
        <w:rPr>
          <w:b/>
        </w:rPr>
        <w:t>B8. </w:t>
      </w:r>
      <w:r>
        <w:rPr/>
        <w:t>Por último indicar que no se prevé ingreso alguno del capítulo nueve de pasivos financieros.</w:t>
      </w:r>
    </w:p>
    <w:p>
      <w:pPr>
        <w:pStyle w:val="BodyText"/>
      </w:pPr>
    </w:p>
    <w:p>
      <w:pPr>
        <w:pStyle w:val="BodyText"/>
        <w:spacing w:before="1"/>
        <w:ind w:left="102" w:right="1691"/>
        <w:jc w:val="both"/>
      </w:pPr>
      <w:r>
        <w:rPr/>
        <w:t>En resumen indicar que se fiscaliza de forma favorable el presupuesto de ingresos en tanto que obedece a una estimación racional y cauta de los derechos que se prevé que sean recaudados en el ejercicio 2024. Ahondando en</w:t>
      </w:r>
    </w:p>
    <w:p>
      <w:pPr>
        <w:spacing w:after="0"/>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70528"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700"/>
        <w:jc w:val="both"/>
      </w:pPr>
      <w:r>
        <w:rPr/>
        <w:t>esta cuestión y de la misma forma que en el ejercicio pasado queda señalar que los porcentajes de recaudación de la </w:t>
      </w:r>
      <w:r>
        <w:rPr>
          <w:w w:val="99"/>
        </w:rPr>
        <w:t>c</w:t>
      </w:r>
      <w:r>
        <w:rPr>
          <w:spacing w:val="1"/>
          <w:w w:val="99"/>
        </w:rPr>
        <w:t>o</w:t>
      </w:r>
      <w:r>
        <w:rPr>
          <w:w w:val="99"/>
        </w:rPr>
        <w:t>r</w:t>
      </w:r>
      <w:r>
        <w:rPr>
          <w:spacing w:val="-2"/>
          <w:w w:val="99"/>
        </w:rPr>
        <w:t>p</w:t>
      </w:r>
      <w:r>
        <w:rPr>
          <w:spacing w:val="1"/>
          <w:w w:val="99"/>
        </w:rPr>
        <w:t>o</w:t>
      </w:r>
      <w:r>
        <w:rPr>
          <w:spacing w:val="-2"/>
          <w:w w:val="99"/>
        </w:rPr>
        <w:t>r</w:t>
      </w:r>
      <w:r>
        <w:rPr>
          <w:spacing w:val="2"/>
          <w:w w:val="99"/>
        </w:rPr>
        <w:t>a</w:t>
      </w:r>
      <w:r>
        <w:rPr>
          <w:spacing w:val="-55"/>
          <w:w w:val="99"/>
        </w:rPr>
        <w:t>c</w:t>
      </w:r>
      <w:r>
        <w:rPr>
          <w:rFonts w:ascii="Calibri" w:hAnsi="Calibri"/>
          <w:spacing w:val="-37"/>
          <w:w w:val="99"/>
          <w:position w:val="10"/>
        </w:rPr>
        <w:t>F</w:t>
      </w:r>
      <w:r>
        <w:rPr>
          <w:spacing w:val="-25"/>
          <w:w w:val="99"/>
        </w:rPr>
        <w:t>i</w:t>
      </w:r>
      <w:r>
        <w:rPr>
          <w:rFonts w:ascii="Calibri" w:hAnsi="Calibri"/>
          <w:spacing w:val="-72"/>
          <w:w w:val="99"/>
          <w:position w:val="10"/>
        </w:rPr>
        <w:t>a</w:t>
      </w:r>
      <w:r>
        <w:rPr>
          <w:spacing w:val="-31"/>
          <w:w w:val="99"/>
        </w:rPr>
        <w:t>ó</w:t>
      </w:r>
      <w:r>
        <w:rPr>
          <w:rFonts w:ascii="Calibri" w:hAnsi="Calibri"/>
          <w:spacing w:val="-58"/>
          <w:w w:val="99"/>
          <w:position w:val="10"/>
        </w:rPr>
        <w:t>x</w:t>
      </w:r>
      <w:r>
        <w:rPr>
          <w:spacing w:val="3"/>
          <w:w w:val="99"/>
        </w:rPr>
        <w:t>n</w:t>
      </w:r>
      <w:r>
        <w:rPr>
          <w:rFonts w:ascii="Calibri" w:hAnsi="Calibri"/>
          <w:spacing w:val="-34"/>
          <w:w w:val="99"/>
          <w:position w:val="10"/>
        </w:rPr>
        <w:t>9</w:t>
      </w:r>
      <w:r>
        <w:rPr>
          <w:spacing w:val="-67"/>
          <w:w w:val="99"/>
        </w:rPr>
        <w:t>h</w:t>
      </w:r>
      <w:r>
        <w:rPr>
          <w:rFonts w:ascii="Calibri" w:hAnsi="Calibri"/>
          <w:spacing w:val="-34"/>
          <w:w w:val="99"/>
          <w:position w:val="10"/>
        </w:rPr>
        <w:t>2</w:t>
      </w:r>
      <w:r>
        <w:rPr>
          <w:spacing w:val="-55"/>
          <w:w w:val="99"/>
        </w:rPr>
        <w:t>a</w:t>
      </w:r>
      <w:r>
        <w:rPr>
          <w:rFonts w:ascii="Calibri" w:hAnsi="Calibri"/>
          <w:spacing w:val="-46"/>
          <w:w w:val="99"/>
          <w:position w:val="10"/>
        </w:rPr>
        <w:t>8</w:t>
      </w:r>
      <w:r>
        <w:rPr>
          <w:spacing w:val="-55"/>
          <w:w w:val="99"/>
        </w:rPr>
        <w:t>n</w:t>
      </w:r>
      <w:r>
        <w:rPr>
          <w:rFonts w:ascii="Calibri" w:hAnsi="Calibri"/>
          <w:spacing w:val="2"/>
          <w:w w:val="99"/>
          <w:position w:val="10"/>
        </w:rPr>
        <w:t>8</w:t>
      </w:r>
      <w:r>
        <w:rPr>
          <w:rFonts w:ascii="Calibri" w:hAnsi="Calibri"/>
          <w:spacing w:val="-80"/>
          <w:w w:val="99"/>
          <w:position w:val="10"/>
        </w:rPr>
        <w:t>3</w:t>
      </w:r>
      <w:r>
        <w:rPr>
          <w:spacing w:val="-76"/>
          <w:w w:val="99"/>
        </w:rPr>
        <w:t>m</w:t>
      </w:r>
      <w:r>
        <w:rPr>
          <w:rFonts w:ascii="Calibri" w:hAnsi="Calibri"/>
          <w:spacing w:val="-24"/>
          <w:w w:val="99"/>
          <w:position w:val="10"/>
        </w:rPr>
        <w:t>3</w:t>
      </w:r>
      <w:r>
        <w:rPr>
          <w:spacing w:val="-65"/>
          <w:w w:val="99"/>
        </w:rPr>
        <w:t>e</w:t>
      </w:r>
      <w:r>
        <w:rPr>
          <w:rFonts w:ascii="Calibri" w:hAnsi="Calibri"/>
          <w:spacing w:val="-36"/>
          <w:w w:val="99"/>
          <w:position w:val="10"/>
        </w:rPr>
        <w:t>5</w:t>
      </w:r>
      <w:r>
        <w:rPr>
          <w:spacing w:val="-20"/>
          <w:w w:val="99"/>
        </w:rPr>
        <w:t>j</w:t>
      </w:r>
      <w:r>
        <w:rPr>
          <w:rFonts w:ascii="Calibri" w:hAnsi="Calibri"/>
          <w:spacing w:val="-82"/>
          <w:w w:val="99"/>
          <w:position w:val="10"/>
        </w:rPr>
        <w:t>4</w:t>
      </w:r>
      <w:r>
        <w:rPr>
          <w:spacing w:val="-19"/>
          <w:w w:val="99"/>
        </w:rPr>
        <w:t>o</w:t>
      </w:r>
      <w:r>
        <w:rPr>
          <w:rFonts w:ascii="Calibri" w:hAnsi="Calibri"/>
          <w:spacing w:val="-84"/>
          <w:w w:val="99"/>
          <w:position w:val="10"/>
        </w:rPr>
        <w:t>9</w:t>
      </w:r>
      <w:r>
        <w:rPr>
          <w:w w:val="99"/>
        </w:rPr>
        <w:t>ra</w:t>
      </w:r>
      <w:r>
        <w:rPr>
          <w:spacing w:val="1"/>
          <w:w w:val="99"/>
        </w:rPr>
        <w:t>d</w:t>
      </w:r>
      <w:r>
        <w:rPr>
          <w:w w:val="99"/>
        </w:rPr>
        <w:t>o</w:t>
      </w:r>
      <w:r>
        <w:rPr/>
        <w:t> </w:t>
      </w:r>
      <w:r>
        <w:rPr>
          <w:w w:val="99"/>
        </w:rPr>
        <w:t>y</w:t>
      </w:r>
      <w:r>
        <w:rPr/>
        <w:t> </w:t>
      </w:r>
      <w:r>
        <w:rPr>
          <w:spacing w:val="-2"/>
          <w:w w:val="99"/>
        </w:rPr>
        <w:t>d</w:t>
      </w:r>
      <w:r>
        <w:rPr>
          <w:w w:val="99"/>
        </w:rPr>
        <w:t>e</w:t>
      </w:r>
      <w:r>
        <w:rPr/>
        <w:t> </w:t>
      </w:r>
      <w:r>
        <w:rPr>
          <w:w w:val="99"/>
        </w:rPr>
        <w:t>ac</w:t>
      </w:r>
      <w:r>
        <w:rPr>
          <w:spacing w:val="1"/>
          <w:w w:val="99"/>
        </w:rPr>
        <w:t>u</w:t>
      </w:r>
      <w:r>
        <w:rPr>
          <w:w w:val="99"/>
        </w:rPr>
        <w:t>er</w:t>
      </w:r>
      <w:r>
        <w:rPr>
          <w:spacing w:val="1"/>
          <w:w w:val="99"/>
        </w:rPr>
        <w:t>d</w:t>
      </w:r>
      <w:r>
        <w:rPr>
          <w:w w:val="99"/>
        </w:rPr>
        <w:t>o</w:t>
      </w:r>
      <w:r>
        <w:rPr/>
        <w:t> </w:t>
      </w:r>
      <w:r>
        <w:rPr>
          <w:w w:val="99"/>
        </w:rPr>
        <w:t>c</w:t>
      </w:r>
      <w:r>
        <w:rPr>
          <w:spacing w:val="1"/>
          <w:w w:val="99"/>
        </w:rPr>
        <w:t>o</w:t>
      </w:r>
      <w:r>
        <w:rPr>
          <w:w w:val="99"/>
        </w:rPr>
        <w:t>n</w:t>
      </w:r>
      <w:r>
        <w:rPr/>
        <w:t> </w:t>
      </w:r>
      <w:r>
        <w:rPr>
          <w:spacing w:val="-1"/>
          <w:w w:val="99"/>
        </w:rPr>
        <w:t>l</w:t>
      </w:r>
      <w:r>
        <w:rPr>
          <w:w w:val="99"/>
        </w:rPr>
        <w:t>a</w:t>
      </w:r>
      <w:r>
        <w:rPr/>
        <w:t> </w:t>
      </w:r>
      <w:r>
        <w:rPr>
          <w:spacing w:val="1"/>
          <w:w w:val="99"/>
        </w:rPr>
        <w:t>ú</w:t>
      </w:r>
      <w:r>
        <w:rPr>
          <w:spacing w:val="-1"/>
          <w:w w:val="99"/>
        </w:rPr>
        <w:t>lti</w:t>
      </w:r>
      <w:r>
        <w:rPr>
          <w:spacing w:val="1"/>
          <w:w w:val="99"/>
        </w:rPr>
        <w:t>m</w:t>
      </w:r>
      <w:r>
        <w:rPr>
          <w:w w:val="99"/>
        </w:rPr>
        <w:t>a</w:t>
      </w:r>
      <w:r>
        <w:rPr/>
        <w:t> </w:t>
      </w:r>
      <w:r>
        <w:rPr>
          <w:w w:val="99"/>
        </w:rPr>
        <w:t>a</w:t>
      </w:r>
      <w:r>
        <w:rPr>
          <w:spacing w:val="1"/>
          <w:w w:val="99"/>
        </w:rPr>
        <w:t>u</w:t>
      </w:r>
      <w:r>
        <w:rPr>
          <w:spacing w:val="-2"/>
          <w:w w:val="99"/>
        </w:rPr>
        <w:t>d</w:t>
      </w:r>
      <w:r>
        <w:rPr>
          <w:spacing w:val="2"/>
          <w:w w:val="99"/>
        </w:rPr>
        <w:t>i</w:t>
      </w:r>
      <w:r>
        <w:rPr>
          <w:spacing w:val="-1"/>
          <w:w w:val="99"/>
        </w:rPr>
        <w:t>t</w:t>
      </w:r>
      <w:r>
        <w:rPr>
          <w:spacing w:val="-2"/>
          <w:w w:val="99"/>
        </w:rPr>
        <w:t>o</w:t>
      </w:r>
      <w:r>
        <w:rPr>
          <w:w w:val="99"/>
        </w:rPr>
        <w:t>r</w:t>
      </w:r>
      <w:r>
        <w:rPr>
          <w:spacing w:val="-1"/>
          <w:w w:val="99"/>
        </w:rPr>
        <w:t>í</w:t>
      </w:r>
      <w:r>
        <w:rPr>
          <w:w w:val="99"/>
        </w:rPr>
        <w:t>a</w:t>
      </w:r>
      <w:r>
        <w:rPr/>
        <w:t> </w:t>
      </w:r>
      <w:r>
        <w:rPr>
          <w:spacing w:val="1"/>
          <w:w w:val="99"/>
        </w:rPr>
        <w:t>d</w:t>
      </w:r>
      <w:r>
        <w:rPr>
          <w:w w:val="99"/>
        </w:rPr>
        <w:t>el</w:t>
      </w:r>
      <w:r>
        <w:rPr/>
        <w:t> </w:t>
      </w:r>
      <w:r>
        <w:rPr>
          <w:spacing w:val="-1"/>
          <w:w w:val="99"/>
        </w:rPr>
        <w:t>F</w:t>
      </w:r>
      <w:r>
        <w:rPr>
          <w:spacing w:val="-2"/>
          <w:w w:val="99"/>
        </w:rPr>
        <w:t>o</w:t>
      </w:r>
      <w:r>
        <w:rPr>
          <w:spacing w:val="1"/>
          <w:w w:val="99"/>
        </w:rPr>
        <w:t>nd</w:t>
      </w:r>
      <w:r>
        <w:rPr>
          <w:w w:val="99"/>
        </w:rPr>
        <w:t>o</w:t>
      </w:r>
      <w:r>
        <w:rPr/>
        <w:t> </w:t>
      </w:r>
      <w:r>
        <w:rPr>
          <w:spacing w:val="-1"/>
          <w:w w:val="99"/>
        </w:rPr>
        <w:t>C</w:t>
      </w:r>
      <w:r>
        <w:rPr>
          <w:w w:val="99"/>
        </w:rPr>
        <w:t>a</w:t>
      </w:r>
      <w:r>
        <w:rPr>
          <w:spacing w:val="1"/>
          <w:w w:val="99"/>
        </w:rPr>
        <w:t>n</w:t>
      </w:r>
      <w:r>
        <w:rPr>
          <w:w w:val="99"/>
        </w:rPr>
        <w:t>ar</w:t>
      </w:r>
      <w:r>
        <w:rPr>
          <w:spacing w:val="-1"/>
          <w:w w:val="99"/>
        </w:rPr>
        <w:t>i</w:t>
      </w:r>
      <w:r>
        <w:rPr>
          <w:w w:val="99"/>
        </w:rPr>
        <w:t>o</w:t>
      </w:r>
      <w:r>
        <w:rPr/>
        <w:t> </w:t>
      </w:r>
      <w:r>
        <w:rPr>
          <w:spacing w:val="-2"/>
          <w:w w:val="99"/>
        </w:rPr>
        <w:t>d</w:t>
      </w:r>
      <w:r>
        <w:rPr>
          <w:w w:val="99"/>
        </w:rPr>
        <w:t>e</w:t>
      </w:r>
      <w:r>
        <w:rPr/>
        <w:t> </w:t>
      </w:r>
      <w:r>
        <w:rPr>
          <w:spacing w:val="2"/>
          <w:w w:val="99"/>
        </w:rPr>
        <w:t>F</w:t>
      </w:r>
      <w:r>
        <w:rPr>
          <w:spacing w:val="-1"/>
          <w:w w:val="99"/>
        </w:rPr>
        <w:t>i</w:t>
      </w:r>
      <w:r>
        <w:rPr>
          <w:spacing w:val="1"/>
          <w:w w:val="99"/>
        </w:rPr>
        <w:t>n</w:t>
      </w:r>
      <w:r>
        <w:rPr>
          <w:spacing w:val="-2"/>
          <w:w w:val="99"/>
        </w:rPr>
        <w:t>a</w:t>
      </w:r>
      <w:r>
        <w:rPr>
          <w:spacing w:val="1"/>
          <w:w w:val="99"/>
        </w:rPr>
        <w:t>n</w:t>
      </w:r>
      <w:r>
        <w:rPr>
          <w:w w:val="99"/>
        </w:rPr>
        <w:t>c</w:t>
      </w:r>
      <w:r>
        <w:rPr>
          <w:spacing w:val="-1"/>
          <w:w w:val="99"/>
        </w:rPr>
        <w:t>i</w:t>
      </w:r>
      <w:r>
        <w:rPr>
          <w:spacing w:val="2"/>
          <w:w w:val="99"/>
        </w:rPr>
        <w:t>a</w:t>
      </w:r>
      <w:r>
        <w:rPr>
          <w:spacing w:val="-2"/>
          <w:w w:val="99"/>
        </w:rPr>
        <w:t>c</w:t>
      </w:r>
      <w:r>
        <w:rPr>
          <w:spacing w:val="2"/>
          <w:w w:val="99"/>
        </w:rPr>
        <w:t>i</w:t>
      </w:r>
      <w:r>
        <w:rPr>
          <w:spacing w:val="-2"/>
          <w:w w:val="99"/>
        </w:rPr>
        <w:t>ó</w:t>
      </w:r>
      <w:r>
        <w:rPr>
          <w:w w:val="99"/>
        </w:rPr>
        <w:t>n</w:t>
      </w:r>
      <w:r>
        <w:rPr/>
        <w:t> </w:t>
      </w:r>
      <w:r>
        <w:rPr>
          <w:w w:val="99"/>
        </w:rPr>
        <w:t>M</w:t>
      </w:r>
      <w:r>
        <w:rPr>
          <w:spacing w:val="1"/>
          <w:w w:val="99"/>
        </w:rPr>
        <w:t>un</w:t>
      </w:r>
      <w:r>
        <w:rPr>
          <w:spacing w:val="-3"/>
          <w:w w:val="99"/>
        </w:rPr>
        <w:t>i</w:t>
      </w:r>
      <w:r>
        <w:rPr>
          <w:spacing w:val="2"/>
          <w:w w:val="99"/>
        </w:rPr>
        <w:t>c</w:t>
      </w:r>
      <w:r>
        <w:rPr>
          <w:spacing w:val="-1"/>
          <w:w w:val="99"/>
        </w:rPr>
        <w:t>i</w:t>
      </w:r>
      <w:r>
        <w:rPr>
          <w:spacing w:val="1"/>
          <w:w w:val="99"/>
        </w:rPr>
        <w:t>p</w:t>
      </w:r>
      <w:r>
        <w:rPr>
          <w:spacing w:val="-2"/>
          <w:w w:val="99"/>
        </w:rPr>
        <w:t>a</w:t>
      </w:r>
      <w:r>
        <w:rPr>
          <w:w w:val="99"/>
        </w:rPr>
        <w:t>l</w:t>
      </w:r>
      <w:r>
        <w:rPr/>
        <w:t> </w:t>
      </w:r>
      <w:r>
        <w:rPr>
          <w:spacing w:val="-1"/>
          <w:w w:val="99"/>
        </w:rPr>
        <w:t>s</w:t>
      </w:r>
      <w:r>
        <w:rPr>
          <w:w w:val="99"/>
        </w:rPr>
        <w:t>e</w:t>
      </w:r>
    </w:p>
    <w:p>
      <w:pPr>
        <w:pStyle w:val="BodyText"/>
        <w:spacing w:line="216" w:lineRule="exact"/>
        <w:ind w:left="102"/>
        <w:jc w:val="both"/>
      </w:pPr>
      <w:r>
        <w:rPr/>
        <w:t>cumple con el mínimo de gestión recaudatoria prevista por la Consejería de Economía y Hacienda.</w:t>
      </w:r>
    </w:p>
    <w:p>
      <w:pPr>
        <w:pStyle w:val="BodyText"/>
        <w:rPr>
          <w:sz w:val="22"/>
        </w:rPr>
      </w:pPr>
    </w:p>
    <w:p>
      <w:pPr>
        <w:pStyle w:val="BodyText"/>
        <w:spacing w:before="3"/>
        <w:rPr>
          <w:sz w:val="18"/>
        </w:rPr>
      </w:pPr>
    </w:p>
    <w:p>
      <w:pPr>
        <w:pStyle w:val="Heading2"/>
        <w:spacing w:before="1"/>
        <w:ind w:left="123" w:right="1630" w:firstLine="1452"/>
      </w:pPr>
      <w:r>
        <w:rPr/>
        <w:t>C) </w:t>
      </w:r>
      <w:r>
        <w:rPr>
          <w:spacing w:val="-3"/>
        </w:rPr>
        <w:t>EVALUACIÓN </w:t>
      </w:r>
      <w:r>
        <w:rPr/>
        <w:t>DEL CUMPLIMIENTO DEL OBJETIVO DE ESTABILIDAD PRESUPUESTARIA</w:t>
      </w:r>
      <w:r>
        <w:rPr>
          <w:spacing w:val="-24"/>
        </w:rPr>
        <w:t> </w:t>
      </w:r>
      <w:r>
        <w:rPr/>
        <w:t>A</w:t>
      </w:r>
      <w:r>
        <w:rPr>
          <w:spacing w:val="-16"/>
        </w:rPr>
        <w:t> </w:t>
      </w:r>
      <w:r>
        <w:rPr/>
        <w:t>LA</w:t>
      </w:r>
      <w:r>
        <w:rPr>
          <w:spacing w:val="-17"/>
        </w:rPr>
        <w:t> </w:t>
      </w:r>
      <w:r>
        <w:rPr>
          <w:spacing w:val="-3"/>
        </w:rPr>
        <w:t>VISTA</w:t>
      </w:r>
      <w:r>
        <w:rPr>
          <w:spacing w:val="-16"/>
        </w:rPr>
        <w:t> </w:t>
      </w:r>
      <w:r>
        <w:rPr/>
        <w:t>DEL</w:t>
      </w:r>
      <w:r>
        <w:rPr>
          <w:spacing w:val="-13"/>
        </w:rPr>
        <w:t> </w:t>
      </w:r>
      <w:r>
        <w:rPr/>
        <w:t>PROYECTO</w:t>
      </w:r>
      <w:r>
        <w:rPr>
          <w:spacing w:val="-4"/>
        </w:rPr>
        <w:t> </w:t>
      </w:r>
      <w:r>
        <w:rPr/>
        <w:t>DE</w:t>
      </w:r>
      <w:r>
        <w:rPr>
          <w:spacing w:val="-6"/>
        </w:rPr>
        <w:t> </w:t>
      </w:r>
      <w:r>
        <w:rPr/>
        <w:t>PRESUPUESTO</w:t>
      </w:r>
      <w:r>
        <w:rPr>
          <w:spacing w:val="-5"/>
        </w:rPr>
        <w:t> </w:t>
      </w:r>
      <w:r>
        <w:rPr/>
        <w:t>GENERAL</w:t>
      </w:r>
      <w:r>
        <w:rPr>
          <w:spacing w:val="30"/>
        </w:rPr>
        <w:t> </w:t>
      </w:r>
      <w:r>
        <w:rPr>
          <w:spacing w:val="-3"/>
        </w:rPr>
        <w:t>PARA</w:t>
      </w:r>
      <w:r>
        <w:rPr>
          <w:spacing w:val="-16"/>
        </w:rPr>
        <w:t> </w:t>
      </w:r>
      <w:r>
        <w:rPr/>
        <w:t>EL</w:t>
      </w:r>
      <w:r>
        <w:rPr>
          <w:spacing w:val="-23"/>
        </w:rPr>
        <w:t> </w:t>
      </w:r>
      <w:r>
        <w:rPr/>
        <w:t>AÑO</w:t>
      </w:r>
      <w:r>
        <w:rPr>
          <w:spacing w:val="-3"/>
        </w:rPr>
        <w:t> </w:t>
      </w:r>
      <w:r>
        <w:rPr/>
        <w:t>2023</w:t>
      </w:r>
    </w:p>
    <w:p>
      <w:pPr>
        <w:pStyle w:val="BodyText"/>
        <w:spacing w:before="1"/>
        <w:rPr>
          <w:b/>
        </w:rPr>
      </w:pPr>
    </w:p>
    <w:p>
      <w:pPr>
        <w:pStyle w:val="BodyText"/>
        <w:spacing w:line="242" w:lineRule="auto"/>
        <w:ind w:left="102" w:right="1688"/>
        <w:jc w:val="both"/>
      </w:pPr>
      <w:r>
        <w:rPr/>
        <w:t>Con motivo de la aprobación del presupuesto del ejercicio </w:t>
      </w:r>
      <w:r>
        <w:rPr>
          <w:b/>
        </w:rPr>
        <w:t>2024 </w:t>
      </w:r>
      <w:r>
        <w:rPr/>
        <w:t>y en cumplimiento de lo previsto en el artículo 16.2 del Real Decreto 1463/2007, de 2 de noviembre, por el que se aprueba el Reglamento de Desarrollo de la Ley 18/2001, de 12 de diciembre, de Estabilidad Presupuestaria, en su Aplicación a las Entidades Locales, emito el siguiente informe:</w:t>
      </w:r>
    </w:p>
    <w:p>
      <w:pPr>
        <w:pStyle w:val="BodyText"/>
        <w:spacing w:before="9"/>
        <w:rPr>
          <w:sz w:val="19"/>
        </w:rPr>
      </w:pPr>
    </w:p>
    <w:p>
      <w:pPr>
        <w:pStyle w:val="Heading2"/>
        <w:ind w:right="2093"/>
        <w:jc w:val="center"/>
      </w:pPr>
      <w:r>
        <w:rPr/>
        <w:t>RÉGIMEN JURÍDICO</w:t>
      </w:r>
    </w:p>
    <w:p>
      <w:pPr>
        <w:pStyle w:val="BodyText"/>
        <w:spacing w:before="1"/>
        <w:rPr>
          <w:b/>
        </w:rPr>
      </w:pPr>
    </w:p>
    <w:p>
      <w:pPr>
        <w:pStyle w:val="BodyText"/>
        <w:ind w:left="102"/>
        <w:jc w:val="both"/>
      </w:pPr>
      <w:r>
        <w:rPr/>
        <w:t>I.- Ley Orgánica 2/2012, de 27 de abril, de Estabilidad Presupuestaria y Sostenibilidad Financiera (LOEPSF).</w:t>
      </w:r>
    </w:p>
    <w:p>
      <w:pPr>
        <w:pStyle w:val="BodyText"/>
        <w:spacing w:before="3"/>
      </w:pPr>
    </w:p>
    <w:p>
      <w:pPr>
        <w:pStyle w:val="BodyText"/>
        <w:ind w:left="102" w:right="1692"/>
        <w:jc w:val="both"/>
      </w:pPr>
      <w:r>
        <w:rPr/>
        <w:t>II.- Real Decreto 1463/2007, de 2 de noviembre, por el que se aprueba el reglamento de desarrollo de la Ley 18/2001 de 12 de diciembre general de Estabilidad Presupuestaria, actualmente vigente en todo aquello que no contradiga la LOEP.</w:t>
      </w:r>
    </w:p>
    <w:p>
      <w:pPr>
        <w:pStyle w:val="BodyText"/>
        <w:spacing w:before="4"/>
      </w:pPr>
    </w:p>
    <w:p>
      <w:pPr>
        <w:pStyle w:val="BodyText"/>
        <w:ind w:left="102" w:right="1699"/>
        <w:jc w:val="both"/>
      </w:pPr>
      <w:r>
        <w:rPr/>
        <w:t>III.- Real Decreto Legislativo 2/2004, de 5 de marzo, (TRLRHL) que aprueba el texto refundido de la Ley Reguladora de las Haciendas Locales, en relación al Principio de Estabilidad Presupuestaria (artículos 54.7 y 146.1).</w:t>
      </w:r>
    </w:p>
    <w:p>
      <w:pPr>
        <w:pStyle w:val="BodyText"/>
        <w:spacing w:before="4"/>
      </w:pPr>
    </w:p>
    <w:p>
      <w:pPr>
        <w:pStyle w:val="BodyText"/>
        <w:ind w:left="102" w:right="1703"/>
        <w:jc w:val="both"/>
      </w:pPr>
      <w:r>
        <w:rPr>
          <w:spacing w:val="-7"/>
        </w:rPr>
        <w:t>IV.- </w:t>
      </w:r>
      <w:r>
        <w:rPr/>
        <w:t>Manual de cálculo del Déficit en Contabilidad Nacional adaptado a las Corporaciones Locales, publicado por la IGAE, Ministerio de Economía y Hacienda.</w:t>
      </w:r>
    </w:p>
    <w:p>
      <w:pPr>
        <w:pStyle w:val="BodyText"/>
        <w:spacing w:before="1"/>
      </w:pPr>
    </w:p>
    <w:p>
      <w:pPr>
        <w:pStyle w:val="BodyText"/>
        <w:spacing w:before="1"/>
        <w:ind w:left="102"/>
        <w:jc w:val="both"/>
      </w:pPr>
      <w:r>
        <w:rPr/>
        <w:t>V.- Manual del SEC 95 sobre el Déficit Público y la Deuda Pública, publicado por Eurostat.</w:t>
      </w:r>
    </w:p>
    <w:p>
      <w:pPr>
        <w:pStyle w:val="BodyText"/>
        <w:rPr>
          <w:sz w:val="22"/>
        </w:rPr>
      </w:pPr>
    </w:p>
    <w:p>
      <w:pPr>
        <w:pStyle w:val="BodyText"/>
        <w:spacing w:before="3"/>
        <w:rPr>
          <w:sz w:val="18"/>
        </w:rPr>
      </w:pPr>
    </w:p>
    <w:p>
      <w:pPr>
        <w:pStyle w:val="Heading2"/>
        <w:ind w:right="2095"/>
        <w:jc w:val="center"/>
      </w:pPr>
      <w:r>
        <w:rPr/>
        <w:t>CONSIDERACIONES JURÍDICAS</w:t>
      </w:r>
    </w:p>
    <w:p>
      <w:pPr>
        <w:pStyle w:val="BodyText"/>
        <w:spacing w:before="3"/>
        <w:rPr>
          <w:b/>
        </w:rPr>
      </w:pPr>
    </w:p>
    <w:p>
      <w:pPr>
        <w:pStyle w:val="BodyText"/>
        <w:ind w:left="102" w:right="1693" w:firstLine="708"/>
        <w:jc w:val="both"/>
      </w:pPr>
      <w:r>
        <w:rPr>
          <w:b/>
        </w:rPr>
        <w:t>Primera.- </w:t>
      </w:r>
      <w:r>
        <w:rPr/>
        <w:t>Las Entidades Locales ajustarán sus presupuestos al principio de estabilidad presupuestaria entendido como la situación de equilibrio o superávit computada en términos de capacidad de financiación de acuerdo con la definición contenida en el Sistema Europeo de Cuentas Nacionales y Regionales de conformidad con lo previsto en el artículo 3 de la Ley Orgánica 2/2012, de 27 de abril, de Estabilidad Presupuestaria y Sostenibilidad Financiera (LOEPSF) se entenderá por estabilidad presupuestaria de las Administraciones Públicas la situación de equilibrio o superávit</w:t>
      </w:r>
      <w:r>
        <w:rPr>
          <w:spacing w:val="-3"/>
        </w:rPr>
        <w:t> </w:t>
      </w:r>
      <w:r>
        <w:rPr/>
        <w:t>estructural.</w:t>
      </w:r>
    </w:p>
    <w:p>
      <w:pPr>
        <w:pStyle w:val="BodyText"/>
        <w:spacing w:before="5"/>
        <w:ind w:left="810"/>
        <w:jc w:val="both"/>
      </w:pPr>
      <w:r>
        <w:rPr>
          <w:b/>
        </w:rPr>
        <w:t>Segunda.- </w:t>
      </w:r>
      <w:r>
        <w:rPr/>
        <w:t>La Legislación aplicable viene determinada por:</w:t>
      </w:r>
    </w:p>
    <w:p>
      <w:pPr>
        <w:pStyle w:val="ListParagraph"/>
        <w:numPr>
          <w:ilvl w:val="0"/>
          <w:numId w:val="9"/>
        </w:numPr>
        <w:tabs>
          <w:tab w:pos="367" w:val="left" w:leader="none"/>
        </w:tabs>
        <w:spacing w:line="242" w:lineRule="auto" w:before="1" w:after="0"/>
        <w:ind w:left="102" w:right="1700" w:firstLine="0"/>
        <w:jc w:val="both"/>
        <w:rPr>
          <w:sz w:val="20"/>
        </w:rPr>
      </w:pPr>
      <w:r>
        <w:rPr>
          <w:sz w:val="20"/>
        </w:rPr>
        <w:t>Los artículos 3 y </w:t>
      </w:r>
      <w:r>
        <w:rPr>
          <w:spacing w:val="-5"/>
          <w:sz w:val="20"/>
        </w:rPr>
        <w:t>11 </w:t>
      </w:r>
      <w:r>
        <w:rPr>
          <w:sz w:val="20"/>
        </w:rPr>
        <w:t>de la Ley Orgánica 2/2012, de 27 de abril, de Estabilidad Presupuestaria y Sostenibilidad Financiera (LOEPSF) se entenderá por estabilidad presupuestaria de las Administraciones Públicas la situación de equilibrio o superávit</w:t>
      </w:r>
      <w:r>
        <w:rPr>
          <w:spacing w:val="-1"/>
          <w:sz w:val="20"/>
        </w:rPr>
        <w:t> </w:t>
      </w:r>
      <w:r>
        <w:rPr>
          <w:sz w:val="20"/>
        </w:rPr>
        <w:t>estructural.</w:t>
      </w:r>
    </w:p>
    <w:p>
      <w:pPr>
        <w:pStyle w:val="ListParagraph"/>
        <w:numPr>
          <w:ilvl w:val="0"/>
          <w:numId w:val="9"/>
        </w:numPr>
        <w:tabs>
          <w:tab w:pos="355" w:val="left" w:leader="none"/>
        </w:tabs>
        <w:spacing w:line="242" w:lineRule="auto" w:before="0" w:after="0"/>
        <w:ind w:left="102" w:right="1691" w:firstLine="0"/>
        <w:jc w:val="both"/>
        <w:rPr>
          <w:sz w:val="20"/>
        </w:rPr>
      </w:pPr>
      <w:r>
        <w:rPr>
          <w:sz w:val="20"/>
        </w:rPr>
        <w:t>Los artículos 4.1 15 y 16.2 del Real Decreto 1463/2007, de 2 de noviembre, por el que se aprueba el Reglamento de Desarrollo de la Ley 18/2001, de 12 de noviembre, de Estabilidad Presupuestaria, en su Aplicación a las Entidades</w:t>
      </w:r>
      <w:r>
        <w:rPr>
          <w:spacing w:val="1"/>
          <w:sz w:val="20"/>
        </w:rPr>
        <w:t> </w:t>
      </w:r>
      <w:r>
        <w:rPr>
          <w:sz w:val="20"/>
        </w:rPr>
        <w:t>Locales.</w:t>
      </w:r>
    </w:p>
    <w:p>
      <w:pPr>
        <w:pStyle w:val="BodyText"/>
        <w:ind w:left="102" w:right="1697" w:firstLine="707"/>
        <w:jc w:val="both"/>
      </w:pPr>
      <w:r>
        <w:rPr>
          <w:b/>
        </w:rPr>
        <w:t>Tercera.- </w:t>
      </w:r>
      <w:r>
        <w:rPr/>
        <w:t>Tal y como dispone el artículo 16 apartado 1 y apartado 2 del Real Decreto 1463/2007, de 2 de noviembre, por el que se aprueba el Reglamento de Desarrollo de la Ley 18/2001, de 12 de diciembre, de Estabilidad Presupuestaria, en su Aplicación a las Entidades Locales, la Intervención Local elevará al Pleno un informe sobre el cumplimiento del objetivo de estabilidad de la propia Entidad Local y de sus organismos y entidades dependientes.</w:t>
      </w:r>
    </w:p>
    <w:p>
      <w:pPr>
        <w:pStyle w:val="BodyText"/>
        <w:spacing w:line="242" w:lineRule="auto"/>
        <w:ind w:left="102" w:right="1693" w:firstLine="708"/>
        <w:jc w:val="both"/>
      </w:pPr>
      <w:r>
        <w:rPr>
          <w:b/>
        </w:rPr>
        <w:t>Cuarta.- </w:t>
      </w:r>
      <w:r>
        <w:rPr/>
        <w:t>El principio de equilibrio presupuestario se desprende de la comparación de los capítulos 1 a 7 del presupuesto de gastos y los capítulos 1 a 7 de ingresos. El objetivo de estabilidad presupuestaria se identificará con una situación de equilibrio o</w:t>
      </w:r>
      <w:r>
        <w:rPr>
          <w:spacing w:val="-5"/>
        </w:rPr>
        <w:t> </w:t>
      </w:r>
      <w:r>
        <w:rPr/>
        <w:t>superávit.</w:t>
      </w:r>
    </w:p>
    <w:p>
      <w:pPr>
        <w:spacing w:after="0" w:line="242" w:lineRule="auto"/>
        <w:jc w:val="both"/>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72576"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691"/>
        <w:jc w:val="both"/>
      </w:pPr>
      <w:r>
        <w:rPr/>
        <w:t>El incumplimiento del objetivo de equilibrio o déficit conllevará la elaboración de un Plan Económico-Financiero </w:t>
      </w:r>
      <w:r>
        <w:rPr>
          <w:spacing w:val="1"/>
          <w:w w:val="99"/>
        </w:rPr>
        <w:t>d</w:t>
      </w:r>
      <w:r>
        <w:rPr>
          <w:w w:val="99"/>
        </w:rPr>
        <w:t>e</w:t>
      </w:r>
      <w:r>
        <w:rPr/>
        <w:t> </w:t>
      </w:r>
      <w:r>
        <w:rPr>
          <w:spacing w:val="-14"/>
        </w:rPr>
        <w:t> </w:t>
      </w:r>
      <w:r>
        <w:rPr>
          <w:w w:val="99"/>
        </w:rPr>
        <w:t>c</w:t>
      </w:r>
      <w:r>
        <w:rPr>
          <w:spacing w:val="1"/>
          <w:w w:val="99"/>
        </w:rPr>
        <w:t>on</w:t>
      </w:r>
      <w:r>
        <w:rPr>
          <w:spacing w:val="-2"/>
          <w:w w:val="99"/>
        </w:rPr>
        <w:t>f</w:t>
      </w:r>
      <w:r>
        <w:rPr>
          <w:spacing w:val="-86"/>
          <w:w w:val="99"/>
        </w:rPr>
        <w:t>o</w:t>
      </w:r>
      <w:r>
        <w:rPr>
          <w:rFonts w:ascii="Calibri" w:hAnsi="Calibri"/>
          <w:spacing w:val="-6"/>
          <w:w w:val="99"/>
          <w:position w:val="10"/>
        </w:rPr>
        <w:t>F</w:t>
      </w:r>
      <w:r>
        <w:rPr>
          <w:rFonts w:ascii="Calibri" w:hAnsi="Calibri"/>
          <w:spacing w:val="-96"/>
          <w:w w:val="99"/>
          <w:position w:val="10"/>
        </w:rPr>
        <w:t>a</w:t>
      </w:r>
      <w:r>
        <w:rPr>
          <w:w w:val="99"/>
        </w:rPr>
        <w:t>r</w:t>
      </w:r>
      <w:r>
        <w:rPr>
          <w:spacing w:val="-129"/>
          <w:w w:val="99"/>
        </w:rPr>
        <w:t>m</w:t>
      </w:r>
      <w:r>
        <w:rPr>
          <w:rFonts w:ascii="Calibri" w:hAnsi="Calibri"/>
          <w:w w:val="99"/>
          <w:position w:val="10"/>
        </w:rPr>
        <w:t>x</w:t>
      </w:r>
      <w:r>
        <w:rPr>
          <w:spacing w:val="-7"/>
          <w:position w:val="10"/>
        </w:rPr>
        <w:t> </w:t>
      </w:r>
      <w:r>
        <w:rPr>
          <w:spacing w:val="-53"/>
          <w:w w:val="99"/>
        </w:rPr>
        <w:t>i</w:t>
      </w:r>
      <w:r>
        <w:rPr>
          <w:rFonts w:ascii="Calibri" w:hAnsi="Calibri"/>
          <w:spacing w:val="-48"/>
          <w:w w:val="99"/>
          <w:position w:val="10"/>
        </w:rPr>
        <w:t>9</w:t>
      </w:r>
      <w:r>
        <w:rPr>
          <w:spacing w:val="-52"/>
          <w:w w:val="99"/>
        </w:rPr>
        <w:t>d</w:t>
      </w:r>
      <w:r>
        <w:rPr>
          <w:rFonts w:ascii="Calibri" w:hAnsi="Calibri"/>
          <w:spacing w:val="-51"/>
          <w:w w:val="99"/>
          <w:position w:val="10"/>
        </w:rPr>
        <w:t>2</w:t>
      </w:r>
      <w:r>
        <w:rPr>
          <w:spacing w:val="-39"/>
          <w:w w:val="99"/>
        </w:rPr>
        <w:t>a</w:t>
      </w:r>
      <w:r>
        <w:rPr>
          <w:rFonts w:ascii="Calibri" w:hAnsi="Calibri"/>
          <w:spacing w:val="-60"/>
          <w:w w:val="99"/>
          <w:position w:val="10"/>
        </w:rPr>
        <w:t>8</w:t>
      </w:r>
      <w:r>
        <w:rPr>
          <w:spacing w:val="-40"/>
          <w:w w:val="99"/>
        </w:rPr>
        <w:t>d</w:t>
      </w:r>
      <w:r>
        <w:rPr>
          <w:rFonts w:ascii="Calibri" w:hAnsi="Calibri"/>
          <w:spacing w:val="2"/>
          <w:w w:val="99"/>
          <w:position w:val="10"/>
        </w:rPr>
        <w:t>8</w:t>
      </w:r>
      <w:r>
        <w:rPr>
          <w:rFonts w:ascii="Calibri" w:hAnsi="Calibri"/>
          <w:spacing w:val="-77"/>
          <w:w w:val="99"/>
          <w:position w:val="10"/>
        </w:rPr>
        <w:t>3</w:t>
      </w:r>
      <w:r>
        <w:rPr>
          <w:spacing w:val="-12"/>
          <w:w w:val="99"/>
        </w:rPr>
        <w:t>c</w:t>
      </w:r>
      <w:r>
        <w:rPr>
          <w:rFonts w:ascii="Calibri" w:hAnsi="Calibri"/>
          <w:spacing w:val="-89"/>
          <w:w w:val="99"/>
          <w:position w:val="10"/>
        </w:rPr>
        <w:t>3</w:t>
      </w:r>
      <w:r>
        <w:rPr>
          <w:spacing w:val="-11"/>
          <w:w w:val="99"/>
        </w:rPr>
        <w:t>o</w:t>
      </w:r>
      <w:r>
        <w:rPr>
          <w:rFonts w:ascii="Calibri" w:hAnsi="Calibri"/>
          <w:spacing w:val="-89"/>
          <w:w w:val="99"/>
          <w:position w:val="10"/>
        </w:rPr>
        <w:t>5</w:t>
      </w:r>
      <w:r>
        <w:rPr>
          <w:spacing w:val="-11"/>
          <w:w w:val="99"/>
        </w:rPr>
        <w:t>n</w:t>
      </w:r>
      <w:r>
        <w:rPr>
          <w:rFonts w:ascii="Calibri" w:hAnsi="Calibri"/>
          <w:spacing w:val="-3"/>
          <w:w w:val="99"/>
          <w:position w:val="10"/>
        </w:rPr>
        <w:t>4</w:t>
      </w:r>
      <w:r>
        <w:rPr>
          <w:spacing w:val="-54"/>
          <w:w w:val="99"/>
        </w:rPr>
        <w:t>l</w:t>
      </w:r>
      <w:r>
        <w:rPr>
          <w:rFonts w:ascii="Calibri" w:hAnsi="Calibri"/>
          <w:spacing w:val="-48"/>
          <w:w w:val="99"/>
          <w:position w:val="10"/>
        </w:rPr>
        <w:t>9</w:t>
      </w:r>
      <w:r>
        <w:rPr>
          <w:w w:val="99"/>
        </w:rPr>
        <w:t>o</w:t>
      </w:r>
      <w:r>
        <w:rPr/>
        <w:t> </w:t>
      </w:r>
      <w:r>
        <w:rPr>
          <w:spacing w:val="-13"/>
        </w:rPr>
        <w:t> </w:t>
      </w:r>
      <w:r>
        <w:rPr>
          <w:spacing w:val="1"/>
          <w:w w:val="99"/>
        </w:rPr>
        <w:t>d</w:t>
      </w:r>
      <w:r>
        <w:rPr>
          <w:spacing w:val="-1"/>
          <w:w w:val="99"/>
        </w:rPr>
        <w:t>i</w:t>
      </w:r>
      <w:r>
        <w:rPr>
          <w:spacing w:val="1"/>
          <w:w w:val="99"/>
        </w:rPr>
        <w:t>s</w:t>
      </w:r>
      <w:r>
        <w:rPr>
          <w:spacing w:val="-2"/>
          <w:w w:val="99"/>
        </w:rPr>
        <w:t>p</w:t>
      </w:r>
      <w:r>
        <w:rPr>
          <w:spacing w:val="1"/>
          <w:w w:val="99"/>
        </w:rPr>
        <w:t>u</w:t>
      </w:r>
      <w:r>
        <w:rPr>
          <w:w w:val="99"/>
        </w:rPr>
        <w:t>e</w:t>
      </w:r>
      <w:r>
        <w:rPr>
          <w:spacing w:val="-1"/>
          <w:w w:val="99"/>
        </w:rPr>
        <w:t>s</w:t>
      </w:r>
      <w:r>
        <w:rPr>
          <w:spacing w:val="2"/>
          <w:w w:val="99"/>
        </w:rPr>
        <w:t>t</w:t>
      </w:r>
      <w:r>
        <w:rPr>
          <w:w w:val="99"/>
        </w:rPr>
        <w:t>o</w:t>
      </w:r>
      <w:r>
        <w:rPr/>
        <w:t> </w:t>
      </w:r>
      <w:r>
        <w:rPr>
          <w:spacing w:val="-13"/>
        </w:rPr>
        <w:t> </w:t>
      </w:r>
      <w:r>
        <w:rPr>
          <w:w w:val="99"/>
        </w:rPr>
        <w:t>en</w:t>
      </w:r>
      <w:r>
        <w:rPr/>
        <w:t> </w:t>
      </w:r>
      <w:r>
        <w:rPr>
          <w:spacing w:val="-13"/>
        </w:rPr>
        <w:t> </w:t>
      </w:r>
      <w:r>
        <w:rPr>
          <w:w w:val="99"/>
        </w:rPr>
        <w:t>el</w:t>
      </w:r>
      <w:r>
        <w:rPr/>
        <w:t> </w:t>
      </w:r>
      <w:r>
        <w:rPr>
          <w:spacing w:val="-12"/>
        </w:rPr>
        <w:t> </w:t>
      </w:r>
      <w:r>
        <w:rPr>
          <w:w w:val="99"/>
        </w:rPr>
        <w:t>ar</w:t>
      </w:r>
      <w:r>
        <w:rPr>
          <w:spacing w:val="-1"/>
          <w:w w:val="99"/>
        </w:rPr>
        <w:t>tí</w:t>
      </w:r>
      <w:r>
        <w:rPr>
          <w:w w:val="99"/>
        </w:rPr>
        <w:t>c</w:t>
      </w:r>
      <w:r>
        <w:rPr>
          <w:spacing w:val="1"/>
          <w:w w:val="99"/>
        </w:rPr>
        <w:t>u</w:t>
      </w:r>
      <w:r>
        <w:rPr>
          <w:spacing w:val="-1"/>
          <w:w w:val="99"/>
        </w:rPr>
        <w:t>l</w:t>
      </w:r>
      <w:r>
        <w:rPr>
          <w:w w:val="99"/>
        </w:rPr>
        <w:t>o</w:t>
      </w:r>
      <w:r>
        <w:rPr/>
        <w:t> </w:t>
      </w:r>
      <w:r>
        <w:rPr>
          <w:spacing w:val="-13"/>
        </w:rPr>
        <w:t> </w:t>
      </w:r>
      <w:r>
        <w:rPr>
          <w:spacing w:val="1"/>
          <w:w w:val="99"/>
        </w:rPr>
        <w:t>2</w:t>
      </w:r>
      <w:r>
        <w:rPr>
          <w:w w:val="99"/>
        </w:rPr>
        <w:t>1</w:t>
      </w:r>
      <w:r>
        <w:rPr/>
        <w:t> </w:t>
      </w:r>
      <w:r>
        <w:rPr>
          <w:spacing w:val="-13"/>
        </w:rPr>
        <w:t> </w:t>
      </w:r>
      <w:r>
        <w:rPr>
          <w:w w:val="99"/>
        </w:rPr>
        <w:t>de</w:t>
      </w:r>
      <w:r>
        <w:rPr/>
        <w:t> </w:t>
      </w:r>
      <w:r>
        <w:rPr>
          <w:spacing w:val="-11"/>
        </w:rPr>
        <w:t> </w:t>
      </w:r>
      <w:r>
        <w:rPr>
          <w:spacing w:val="-1"/>
          <w:w w:val="99"/>
        </w:rPr>
        <w:t>l</w:t>
      </w:r>
      <w:r>
        <w:rPr>
          <w:w w:val="99"/>
        </w:rPr>
        <w:t>a</w:t>
      </w:r>
      <w:r>
        <w:rPr/>
        <w:t> </w:t>
      </w:r>
      <w:r>
        <w:rPr>
          <w:spacing w:val="-14"/>
        </w:rPr>
        <w:t> </w:t>
      </w:r>
      <w:r>
        <w:rPr>
          <w:w w:val="99"/>
        </w:rPr>
        <w:t>Ley</w:t>
      </w:r>
      <w:r>
        <w:rPr/>
        <w:t> </w:t>
      </w:r>
      <w:r>
        <w:rPr>
          <w:spacing w:val="-10"/>
        </w:rPr>
        <w:t> </w:t>
      </w:r>
      <w:r>
        <w:rPr>
          <w:w w:val="99"/>
        </w:rPr>
        <w:t>O</w:t>
      </w:r>
      <w:r>
        <w:rPr>
          <w:spacing w:val="-4"/>
          <w:w w:val="99"/>
        </w:rPr>
        <w:t>r</w:t>
      </w:r>
      <w:r>
        <w:rPr>
          <w:spacing w:val="-2"/>
          <w:w w:val="99"/>
        </w:rPr>
        <w:t>g</w:t>
      </w:r>
      <w:r>
        <w:rPr>
          <w:spacing w:val="2"/>
          <w:w w:val="99"/>
        </w:rPr>
        <w:t>á</w:t>
      </w:r>
      <w:r>
        <w:rPr>
          <w:spacing w:val="-2"/>
          <w:w w:val="99"/>
        </w:rPr>
        <w:t>n</w:t>
      </w:r>
      <w:r>
        <w:rPr>
          <w:spacing w:val="2"/>
          <w:w w:val="99"/>
        </w:rPr>
        <w:t>i</w:t>
      </w:r>
      <w:r>
        <w:rPr>
          <w:w w:val="99"/>
        </w:rPr>
        <w:t>ca</w:t>
      </w:r>
      <w:r>
        <w:rPr/>
        <w:t> </w:t>
      </w:r>
      <w:r>
        <w:rPr>
          <w:spacing w:val="-14"/>
        </w:rPr>
        <w:t> </w:t>
      </w:r>
      <w:r>
        <w:rPr>
          <w:spacing w:val="1"/>
          <w:w w:val="99"/>
        </w:rPr>
        <w:t>2</w:t>
      </w:r>
      <w:r>
        <w:rPr>
          <w:spacing w:val="-1"/>
          <w:w w:val="99"/>
        </w:rPr>
        <w:t>/</w:t>
      </w:r>
      <w:r>
        <w:rPr>
          <w:spacing w:val="1"/>
          <w:w w:val="99"/>
        </w:rPr>
        <w:t>2</w:t>
      </w:r>
      <w:r>
        <w:rPr>
          <w:spacing w:val="-2"/>
          <w:w w:val="99"/>
        </w:rPr>
        <w:t>0</w:t>
      </w:r>
      <w:r>
        <w:rPr>
          <w:spacing w:val="1"/>
          <w:w w:val="99"/>
        </w:rPr>
        <w:t>12</w:t>
      </w:r>
      <w:r>
        <w:rPr>
          <w:w w:val="99"/>
        </w:rPr>
        <w:t>,</w:t>
      </w:r>
      <w:r>
        <w:rPr/>
        <w:t> </w:t>
      </w:r>
      <w:r>
        <w:rPr>
          <w:spacing w:val="-13"/>
        </w:rPr>
        <w:t> </w:t>
      </w:r>
      <w:r>
        <w:rPr>
          <w:spacing w:val="1"/>
          <w:w w:val="99"/>
        </w:rPr>
        <w:t>d</w:t>
      </w:r>
      <w:r>
        <w:rPr>
          <w:w w:val="99"/>
        </w:rPr>
        <w:t>e</w:t>
      </w:r>
      <w:r>
        <w:rPr/>
        <w:t> </w:t>
      </w:r>
      <w:r>
        <w:rPr>
          <w:spacing w:val="-11"/>
        </w:rPr>
        <w:t> </w:t>
      </w:r>
      <w:r>
        <w:rPr>
          <w:spacing w:val="-2"/>
          <w:w w:val="99"/>
        </w:rPr>
        <w:t>2</w:t>
      </w:r>
      <w:r>
        <w:rPr>
          <w:w w:val="99"/>
        </w:rPr>
        <w:t>7</w:t>
      </w:r>
      <w:r>
        <w:rPr/>
        <w:t> </w:t>
      </w:r>
      <w:r>
        <w:rPr>
          <w:spacing w:val="-10"/>
        </w:rPr>
        <w:t> </w:t>
      </w:r>
      <w:r>
        <w:rPr>
          <w:spacing w:val="-2"/>
          <w:w w:val="99"/>
        </w:rPr>
        <w:t>d</w:t>
      </w:r>
      <w:r>
        <w:rPr>
          <w:w w:val="99"/>
        </w:rPr>
        <w:t>e</w:t>
      </w:r>
      <w:r>
        <w:rPr/>
        <w:t> </w:t>
      </w:r>
      <w:r>
        <w:rPr>
          <w:spacing w:val="-11"/>
        </w:rPr>
        <w:t> </w:t>
      </w:r>
      <w:r>
        <w:rPr>
          <w:w w:val="99"/>
        </w:rPr>
        <w:t>a</w:t>
      </w:r>
      <w:r>
        <w:rPr>
          <w:spacing w:val="-2"/>
          <w:w w:val="99"/>
        </w:rPr>
        <w:t>b</w:t>
      </w:r>
      <w:r>
        <w:rPr>
          <w:w w:val="99"/>
        </w:rPr>
        <w:t>r</w:t>
      </w:r>
      <w:r>
        <w:rPr>
          <w:spacing w:val="2"/>
          <w:w w:val="99"/>
        </w:rPr>
        <w:t>i</w:t>
      </w:r>
      <w:r>
        <w:rPr>
          <w:spacing w:val="-3"/>
          <w:w w:val="99"/>
        </w:rPr>
        <w:t>l</w:t>
      </w:r>
      <w:r>
        <w:rPr>
          <w:w w:val="99"/>
        </w:rPr>
        <w:t>,</w:t>
      </w:r>
      <w:r>
        <w:rPr/>
        <w:t> </w:t>
      </w:r>
      <w:r>
        <w:rPr>
          <w:spacing w:val="-11"/>
        </w:rPr>
        <w:t> </w:t>
      </w:r>
      <w:r>
        <w:rPr>
          <w:spacing w:val="1"/>
          <w:w w:val="99"/>
        </w:rPr>
        <w:t>d</w:t>
      </w:r>
      <w:r>
        <w:rPr>
          <w:w w:val="99"/>
        </w:rPr>
        <w:t>e</w:t>
      </w:r>
      <w:r>
        <w:rPr/>
        <w:t> </w:t>
      </w:r>
      <w:r>
        <w:rPr>
          <w:spacing w:val="-14"/>
        </w:rPr>
        <w:t> </w:t>
      </w:r>
      <w:r>
        <w:rPr>
          <w:w w:val="99"/>
        </w:rPr>
        <w:t>E</w:t>
      </w:r>
      <w:r>
        <w:rPr>
          <w:spacing w:val="1"/>
          <w:w w:val="99"/>
        </w:rPr>
        <w:t>s</w:t>
      </w:r>
      <w:r>
        <w:rPr>
          <w:spacing w:val="-1"/>
          <w:w w:val="99"/>
        </w:rPr>
        <w:t>t</w:t>
      </w:r>
      <w:r>
        <w:rPr>
          <w:w w:val="99"/>
        </w:rPr>
        <w:t>a</w:t>
      </w:r>
      <w:r>
        <w:rPr>
          <w:spacing w:val="-2"/>
          <w:w w:val="99"/>
        </w:rPr>
        <w:t>b</w:t>
      </w:r>
      <w:r>
        <w:rPr>
          <w:spacing w:val="1"/>
          <w:w w:val="99"/>
        </w:rPr>
        <w:t>i</w:t>
      </w:r>
      <w:r>
        <w:rPr>
          <w:spacing w:val="-1"/>
          <w:w w:val="99"/>
        </w:rPr>
        <w:t>li</w:t>
      </w:r>
      <w:r>
        <w:rPr>
          <w:spacing w:val="1"/>
          <w:w w:val="99"/>
        </w:rPr>
        <w:t>d</w:t>
      </w:r>
      <w:r>
        <w:rPr>
          <w:w w:val="99"/>
        </w:rPr>
        <w:t>ad</w:t>
      </w:r>
    </w:p>
    <w:p>
      <w:pPr>
        <w:pStyle w:val="BodyText"/>
        <w:spacing w:line="216" w:lineRule="exact"/>
        <w:ind w:left="102"/>
        <w:jc w:val="both"/>
      </w:pPr>
      <w:r>
        <w:rPr/>
        <w:t>Presupuestaria y Sostenibilidad Financiera.</w:t>
      </w:r>
    </w:p>
    <w:p>
      <w:pPr>
        <w:pStyle w:val="BodyText"/>
        <w:spacing w:line="242" w:lineRule="auto"/>
        <w:ind w:left="102" w:right="1690" w:hanging="1"/>
        <w:jc w:val="both"/>
      </w:pPr>
      <w:r>
        <w:rPr/>
        <w:t>Para el cálculo de la Estabilidad Presupuestaria se efectúa la diferencia entre los Capítulos 1 a 7 de Ingresos y los Capítulos 1 a 7 de Gastos, cuyos importes, establecidos en el proyecto de Presupuesto General Municipal para el ejercicio ascienden a la cantidad de 29.025.286,19 euros tanto para ingresos como para gastos.</w:t>
      </w:r>
    </w:p>
    <w:p>
      <w:pPr>
        <w:pStyle w:val="BodyText"/>
        <w:spacing w:before="9"/>
        <w:rPr>
          <w:sz w:val="19"/>
        </w:rPr>
      </w:pPr>
    </w:p>
    <w:p>
      <w:pPr>
        <w:pStyle w:val="BodyText"/>
        <w:ind w:left="102" w:right="1630" w:hanging="1"/>
      </w:pPr>
      <w:r>
        <w:rPr/>
        <w:t>En primer lugar señalar que el Presupuesto es encuentra en situación de equilibrio de ingresos frente a gastos, ello debido a la estimación racional y prudente de ingresos.</w:t>
      </w:r>
    </w:p>
    <w:p>
      <w:pPr>
        <w:pStyle w:val="BodyText"/>
        <w:spacing w:before="4"/>
      </w:pPr>
    </w:p>
    <w:p>
      <w:pPr>
        <w:pStyle w:val="BodyText"/>
        <w:ind w:left="102" w:right="1630"/>
      </w:pPr>
      <w:r>
        <w:rPr/>
        <w:t>En consecuencia de las cifras consignadas, para que el Presupuesto pueda aprobarse, las previsiones iniciales de ingresos de los capítulos 1 a 7 han de financiar el montante de los mismos capítulos del estado de gastos.</w:t>
      </w:r>
    </w:p>
    <w:p>
      <w:pPr>
        <w:pStyle w:val="BodyText"/>
        <w:spacing w:before="7"/>
        <w:rPr>
          <w:sz w:val="23"/>
        </w:rPr>
      </w:pPr>
    </w:p>
    <w:p>
      <w:pPr>
        <w:pStyle w:val="BodyText"/>
        <w:ind w:left="102" w:right="1630"/>
      </w:pPr>
      <w:r>
        <w:rPr/>
        <w:t>Señalar que se habrá de atender la ejecución racional de gastos en tanto que el año 2023 se liquidó en situación de necesidad de financiación en parte también debido a la inversión financiada con ahorro.</w:t>
      </w:r>
    </w:p>
    <w:p>
      <w:pPr>
        <w:pStyle w:val="BodyText"/>
        <w:rPr>
          <w:sz w:val="22"/>
        </w:rPr>
      </w:pPr>
    </w:p>
    <w:p>
      <w:pPr>
        <w:pStyle w:val="BodyText"/>
        <w:spacing w:before="4"/>
        <w:rPr>
          <w:sz w:val="18"/>
        </w:rPr>
      </w:pPr>
    </w:p>
    <w:p>
      <w:pPr>
        <w:pStyle w:val="Heading2"/>
        <w:ind w:left="3510"/>
      </w:pPr>
      <w:r>
        <w:rPr/>
        <w:t>E) BASES DE EJECUCIÓN</w:t>
      </w:r>
    </w:p>
    <w:p>
      <w:pPr>
        <w:pStyle w:val="BodyText"/>
        <w:spacing w:before="1"/>
        <w:rPr>
          <w:b/>
        </w:rPr>
      </w:pPr>
    </w:p>
    <w:p>
      <w:pPr>
        <w:pStyle w:val="BodyText"/>
        <w:ind w:left="102" w:right="1690"/>
        <w:jc w:val="both"/>
      </w:pPr>
      <w:r>
        <w:rPr/>
        <w:t>Por lo que se refiere a las Bases de Ejecución del Presupuesto, al amparo del art. 9 del R.D. 500/90, de 20 de abril, deben contener la adaptación de las disposiciones generales en materia presupuestaria a la organización y circunstancias de este Ayuntamiento, así como las especificaciones necesarias para la mejor gestión y el establecimiento para la mejor realización de los gastos y la recaudación de los recursos, no pudiendo modificar lo legislado para la administración económica ni comprender precepto alguno que requiera legalmente de procedimientos y solemnidades específicas diferentes a lo preceptuado para el Presupuesto. En este sentido, se aportan las Bases de Ejecución del Presupuesto, respecto a las cuales esta Intervención informa que lamenta la supresión en el año 2014 del apartado 7 de la base 24 en el que se indicaba: “ </w:t>
      </w:r>
      <w:r>
        <w:rPr>
          <w:u w:val="single"/>
        </w:rPr>
        <w:t>Indicar que habrá de solicitarse al</w:t>
      </w:r>
      <w:r>
        <w:rPr/>
        <w:t> </w:t>
      </w:r>
      <w:r>
        <w:rPr>
          <w:u w:val="single"/>
        </w:rPr>
        <w:t>menos tres presupuestos respecto de todos aquellos gastos ya sean de obras, suministros o servicios cuyo importe</w:t>
      </w:r>
      <w:r>
        <w:rPr/>
        <w:t> </w:t>
      </w:r>
      <w:r>
        <w:rPr>
          <w:u w:val="single"/>
        </w:rPr>
        <w:t>supere los 3.000 euros en orden a conseguir las mejores ofertas. Se exceptuará de dicha obligación aquellos</w:t>
      </w:r>
      <w:r>
        <w:rPr/>
        <w:t> </w:t>
      </w:r>
      <w:r>
        <w:rPr>
          <w:u w:val="single"/>
        </w:rPr>
        <w:t>supuestos en los que  se acredite la imposibilidad de su obtención.</w:t>
      </w:r>
      <w:r>
        <w:rPr/>
        <w:t>   </w:t>
      </w:r>
      <w:r>
        <w:rPr>
          <w:b/>
        </w:rPr>
        <w:t>”</w:t>
      </w:r>
      <w:r>
        <w:rPr/>
        <w:t>. A juicio de esta Intervención se suprime    una medida que se entiende redunda en la obtención de precios más económicos para la corporación en todo suministro y servicio recibido, así como se gana en transparencia y concurrencia en tales</w:t>
      </w:r>
      <w:r>
        <w:rPr>
          <w:spacing w:val="-20"/>
        </w:rPr>
        <w:t> </w:t>
      </w:r>
      <w:r>
        <w:rPr/>
        <w:t>contrataciones.</w:t>
      </w:r>
    </w:p>
    <w:p>
      <w:pPr>
        <w:pStyle w:val="BodyText"/>
        <w:spacing w:before="6"/>
        <w:rPr>
          <w:sz w:val="24"/>
        </w:rPr>
      </w:pPr>
    </w:p>
    <w:p>
      <w:pPr>
        <w:pStyle w:val="BodyText"/>
        <w:spacing w:line="242" w:lineRule="auto"/>
        <w:ind w:left="102" w:right="1691" w:hanging="1"/>
        <w:jc w:val="both"/>
      </w:pPr>
      <w:r>
        <w:rPr/>
        <w:t>Al respecto informar las cantidades modificadas en aumento más que notable tanto de dietas por asistencia de concejales a Plenos, Comisiones, Juntas de Gobierno y Mesas de Contratación. Así como también el aumento de las cuantías establecidas en lo que se refiere a asignaciones a grupos así como por concejales.</w:t>
      </w:r>
    </w:p>
    <w:p>
      <w:pPr>
        <w:pStyle w:val="BodyText"/>
        <w:rPr>
          <w:sz w:val="22"/>
        </w:rPr>
      </w:pPr>
    </w:p>
    <w:p>
      <w:pPr>
        <w:pStyle w:val="BodyText"/>
        <w:spacing w:before="5"/>
        <w:rPr>
          <w:sz w:val="28"/>
        </w:rPr>
      </w:pPr>
    </w:p>
    <w:p>
      <w:pPr>
        <w:pStyle w:val="Heading2"/>
        <w:ind w:left="2658"/>
      </w:pPr>
      <w:r>
        <w:rPr>
          <w:u w:val="single"/>
        </w:rPr>
        <w:t>TERCERO.- PROCEDIMIENTO Y RECURSOS:</w:t>
      </w:r>
    </w:p>
    <w:p>
      <w:pPr>
        <w:pStyle w:val="BodyText"/>
        <w:rPr>
          <w:b/>
        </w:rPr>
      </w:pPr>
    </w:p>
    <w:p>
      <w:pPr>
        <w:pStyle w:val="BodyText"/>
        <w:spacing w:before="1"/>
        <w:rPr>
          <w:b/>
        </w:rPr>
      </w:pPr>
    </w:p>
    <w:p>
      <w:pPr>
        <w:pStyle w:val="BodyText"/>
        <w:ind w:left="102" w:right="1691" w:firstLine="708"/>
        <w:jc w:val="both"/>
      </w:pPr>
      <w:r>
        <w:rPr/>
        <w:t>1º.- El procedimiento de aprobación está contenido en el artículo 168 del TRLRHL. Una vez fiscalizado el Proyecto de presupuesto mediante el presente Informe, la documentación que constituye el expediente deberá ser dictaminada por la Comisión Informativa correspondiente para posteriormente ser remitido al Pleno para su aprobación. Esta Intervención quiere instar a los órganos municipales correspondientes para que se cree una Comisión Informativa para Asuntos de Hacienda o que, tal y como permite el apartado tercero del artículo 127 del RD 2568/1986 mediante el que se aprueba el Reglamento de Organización, Funcionamiento y Régimen Jurídico de las Entidades Locales, se acuerde por el Pleno de la Corporación que la Comisión Especial de Cuentas pueda actuar como Comisión informativa permanente para los asuntos relativos a Economía y Hacienda de la entidad.</w:t>
      </w:r>
    </w:p>
    <w:p>
      <w:pPr>
        <w:pStyle w:val="BodyText"/>
        <w:spacing w:before="11"/>
      </w:pPr>
    </w:p>
    <w:p>
      <w:pPr>
        <w:pStyle w:val="BodyText"/>
        <w:ind w:left="810"/>
      </w:pPr>
      <w:r>
        <w:rPr/>
        <w:t>2º.- Tendrán la consideración de interesados las personas definidas en el artículo 170 del Texto Refundido.</w:t>
      </w:r>
    </w:p>
    <w:p>
      <w:pPr>
        <w:spacing w:after="0"/>
        <w:sectPr>
          <w:pgSz w:w="11900" w:h="16840"/>
          <w:pgMar w:header="696" w:footer="0" w:top="2480" w:bottom="280" w:left="800" w:right="0"/>
        </w:sectPr>
      </w:pPr>
    </w:p>
    <w:p>
      <w:pPr>
        <w:pStyle w:val="BodyText"/>
        <w:spacing w:before="4"/>
        <w:rPr>
          <w:sz w:val="16"/>
        </w:rPr>
      </w:pPr>
      <w:r>
        <w:rPr/>
        <w:pict>
          <v:line style="position:absolute;mso-position-horizontal-relative:page;mso-position-vertical-relative:page;z-index:251674624" from="24.35pt,397.980007pt" to="24.35pt,240.570007pt" stroked="true" strokeweight=".53333pt" strokecolor="#0000ff">
            <v:stroke dashstyle="solid"/>
            <w10:wrap type="none"/>
          </v:line>
        </w:pict>
      </w:r>
      <w:r>
        <w:rPr/>
        <w:pict>
          <v:shape style="position:absolute;margin-left:.597812pt;margin-top:129.804657pt;width:23.8pt;height:582.2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15255311604057333252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6">
                    <w:r>
                      <w:rPr>
                        <w:rFonts w:ascii="Arial" w:hAnsi="Arial"/>
                        <w:color w:val="0000FF"/>
                        <w:sz w:val="16"/>
                      </w:rPr>
                      <w:t>http://sede.ayuntamientodetias.es/validacion</w:t>
                    </w:r>
                  </w:hyperlink>
                </w:p>
              </w:txbxContent>
            </v:textbox>
            <w10:wrap type="none"/>
          </v:shape>
        </w:pict>
      </w:r>
    </w:p>
    <w:p>
      <w:pPr>
        <w:pStyle w:val="BodyText"/>
        <w:spacing w:before="59"/>
        <w:ind w:left="501" w:right="8879"/>
        <w:jc w:val="center"/>
        <w:rPr>
          <w:rFonts w:ascii="Calibri"/>
        </w:rPr>
      </w:pPr>
      <w:r>
        <w:rPr>
          <w:rFonts w:ascii="Calibri"/>
        </w:rPr>
        <w:t>C/ Libertad, 50</w:t>
      </w:r>
    </w:p>
    <w:p>
      <w:pPr>
        <w:pStyle w:val="BodyText"/>
        <w:spacing w:before="11"/>
        <w:rPr>
          <w:rFonts w:ascii="Calibri"/>
          <w:sz w:val="19"/>
        </w:rPr>
      </w:pPr>
    </w:p>
    <w:p>
      <w:pPr>
        <w:pStyle w:val="BodyText"/>
        <w:ind w:left="504" w:right="8879"/>
        <w:jc w:val="center"/>
        <w:rPr>
          <w:rFonts w:ascii="Calibri" w:hAnsi="Calibri"/>
        </w:rPr>
      </w:pPr>
      <w:r>
        <w:rPr>
          <w:rFonts w:ascii="Calibri" w:hAnsi="Calibri"/>
        </w:rPr>
        <w:t>Teléfono 928833619</w:t>
      </w:r>
    </w:p>
    <w:p>
      <w:pPr>
        <w:pStyle w:val="BodyText"/>
        <w:spacing w:line="168" w:lineRule="auto" w:before="173"/>
        <w:ind w:left="102" w:right="1693" w:firstLine="708"/>
        <w:jc w:val="both"/>
      </w:pPr>
      <w:r>
        <w:rPr/>
        <w:t>3º.- De conformidad con lo dispuesto en el artículo 47 de la Ley 57/2003, de 16 de diciembre, para la </w:t>
      </w:r>
      <w:r>
        <w:rPr>
          <w:w w:val="99"/>
        </w:rPr>
        <w:t>a</w:t>
      </w:r>
      <w:r>
        <w:rPr>
          <w:spacing w:val="1"/>
          <w:w w:val="99"/>
        </w:rPr>
        <w:t>p</w:t>
      </w:r>
      <w:r>
        <w:rPr>
          <w:w w:val="99"/>
        </w:rPr>
        <w:t>r</w:t>
      </w:r>
      <w:r>
        <w:rPr>
          <w:spacing w:val="-2"/>
          <w:w w:val="99"/>
        </w:rPr>
        <w:t>o</w:t>
      </w:r>
      <w:r>
        <w:rPr>
          <w:spacing w:val="1"/>
          <w:w w:val="99"/>
        </w:rPr>
        <w:t>b</w:t>
      </w:r>
      <w:r>
        <w:rPr>
          <w:w w:val="99"/>
        </w:rPr>
        <w:t>ac</w:t>
      </w:r>
      <w:r>
        <w:rPr>
          <w:spacing w:val="-44"/>
          <w:w w:val="99"/>
        </w:rPr>
        <w:t>i</w:t>
      </w:r>
      <w:r>
        <w:rPr>
          <w:rFonts w:ascii="Calibri" w:hAnsi="Calibri"/>
          <w:spacing w:val="-49"/>
          <w:w w:val="99"/>
          <w:position w:val="10"/>
        </w:rPr>
        <w:t>F</w:t>
      </w:r>
      <w:r>
        <w:rPr>
          <w:spacing w:val="-57"/>
          <w:w w:val="99"/>
        </w:rPr>
        <w:t>ó</w:t>
      </w:r>
      <w:r>
        <w:rPr>
          <w:rFonts w:ascii="Calibri" w:hAnsi="Calibri"/>
          <w:spacing w:val="-38"/>
          <w:w w:val="99"/>
          <w:position w:val="10"/>
        </w:rPr>
        <w:t>a</w:t>
      </w:r>
      <w:r>
        <w:rPr>
          <w:spacing w:val="-64"/>
          <w:w w:val="99"/>
        </w:rPr>
        <w:t>n</w:t>
      </w:r>
      <w:r>
        <w:rPr>
          <w:rFonts w:ascii="Calibri" w:hAnsi="Calibri"/>
          <w:w w:val="99"/>
          <w:position w:val="10"/>
        </w:rPr>
        <w:t>x</w:t>
      </w:r>
      <w:r>
        <w:rPr>
          <w:spacing w:val="-5"/>
          <w:position w:val="10"/>
        </w:rPr>
        <w:t> </w:t>
      </w:r>
      <w:r>
        <w:rPr>
          <w:rFonts w:ascii="Calibri" w:hAnsi="Calibri"/>
          <w:spacing w:val="-87"/>
          <w:w w:val="99"/>
          <w:position w:val="10"/>
        </w:rPr>
        <w:t>9</w:t>
      </w:r>
      <w:r>
        <w:rPr>
          <w:spacing w:val="-14"/>
          <w:w w:val="99"/>
        </w:rPr>
        <w:t>d</w:t>
      </w:r>
      <w:r>
        <w:rPr>
          <w:rFonts w:ascii="Calibri" w:hAnsi="Calibri"/>
          <w:spacing w:val="-87"/>
          <w:w w:val="99"/>
          <w:position w:val="10"/>
        </w:rPr>
        <w:t>2</w:t>
      </w:r>
      <w:r>
        <w:rPr>
          <w:spacing w:val="-3"/>
          <w:w w:val="99"/>
        </w:rPr>
        <w:t>e</w:t>
      </w:r>
      <w:r>
        <w:rPr>
          <w:rFonts w:ascii="Calibri" w:hAnsi="Calibri"/>
          <w:spacing w:val="-99"/>
          <w:w w:val="99"/>
          <w:position w:val="10"/>
        </w:rPr>
        <w:t>8</w:t>
      </w:r>
      <w:r>
        <w:rPr>
          <w:w w:val="99"/>
        </w:rPr>
        <w:t>l</w:t>
      </w:r>
      <w:r>
        <w:rPr>
          <w:spacing w:val="-8"/>
        </w:rPr>
        <w:t> </w:t>
      </w:r>
      <w:r>
        <w:rPr>
          <w:rFonts w:ascii="Calibri" w:hAnsi="Calibri"/>
          <w:spacing w:val="-60"/>
          <w:w w:val="99"/>
          <w:position w:val="10"/>
        </w:rPr>
        <w:t>8</w:t>
      </w:r>
      <w:r>
        <w:rPr>
          <w:spacing w:val="-49"/>
          <w:w w:val="99"/>
        </w:rPr>
        <w:t>P</w:t>
      </w:r>
      <w:r>
        <w:rPr>
          <w:rFonts w:ascii="Calibri" w:hAnsi="Calibri"/>
          <w:spacing w:val="-53"/>
          <w:w w:val="99"/>
          <w:position w:val="10"/>
        </w:rPr>
        <w:t>3</w:t>
      </w:r>
      <w:r>
        <w:rPr>
          <w:spacing w:val="-14"/>
          <w:w w:val="99"/>
        </w:rPr>
        <w:t>r</w:t>
      </w:r>
      <w:r>
        <w:rPr>
          <w:rFonts w:ascii="Calibri" w:hAnsi="Calibri"/>
          <w:spacing w:val="-87"/>
          <w:w w:val="99"/>
          <w:position w:val="10"/>
        </w:rPr>
        <w:t>3</w:t>
      </w:r>
      <w:r>
        <w:rPr>
          <w:spacing w:val="-3"/>
          <w:w w:val="99"/>
        </w:rPr>
        <w:t>e</w:t>
      </w:r>
      <w:r>
        <w:rPr>
          <w:rFonts w:ascii="Calibri" w:hAnsi="Calibri"/>
          <w:spacing w:val="-99"/>
          <w:w w:val="99"/>
          <w:position w:val="10"/>
        </w:rPr>
        <w:t>5</w:t>
      </w:r>
      <w:r>
        <w:rPr>
          <w:spacing w:val="1"/>
          <w:w w:val="99"/>
        </w:rPr>
        <w:t>s</w:t>
      </w:r>
      <w:r>
        <w:rPr>
          <w:spacing w:val="-81"/>
          <w:w w:val="99"/>
        </w:rPr>
        <w:t>u</w:t>
      </w:r>
      <w:r>
        <w:rPr>
          <w:rFonts w:ascii="Calibri" w:hAnsi="Calibri"/>
          <w:spacing w:val="-22"/>
          <w:w w:val="99"/>
          <w:position w:val="10"/>
        </w:rPr>
        <w:t>4</w:t>
      </w:r>
      <w:r>
        <w:rPr>
          <w:spacing w:val="-79"/>
          <w:w w:val="99"/>
        </w:rPr>
        <w:t>p</w:t>
      </w:r>
      <w:r>
        <w:rPr>
          <w:rFonts w:ascii="Calibri" w:hAnsi="Calibri"/>
          <w:spacing w:val="-22"/>
          <w:w w:val="99"/>
          <w:position w:val="10"/>
        </w:rPr>
        <w:t>9</w:t>
      </w:r>
      <w:r>
        <w:rPr>
          <w:spacing w:val="1"/>
          <w:w w:val="99"/>
        </w:rPr>
        <w:t>u</w:t>
      </w:r>
      <w:r>
        <w:rPr>
          <w:spacing w:val="-2"/>
          <w:w w:val="99"/>
        </w:rPr>
        <w:t>e</w:t>
      </w:r>
      <w:r>
        <w:rPr>
          <w:spacing w:val="1"/>
          <w:w w:val="99"/>
        </w:rPr>
        <w:t>s</w:t>
      </w:r>
      <w:r>
        <w:rPr>
          <w:spacing w:val="-1"/>
          <w:w w:val="99"/>
        </w:rPr>
        <w:t>t</w:t>
      </w:r>
      <w:r>
        <w:rPr>
          <w:w w:val="99"/>
        </w:rPr>
        <w:t>o</w:t>
      </w:r>
      <w:r>
        <w:rPr/>
        <w:t> </w:t>
      </w:r>
      <w:r>
        <w:rPr>
          <w:spacing w:val="-15"/>
        </w:rPr>
        <w:t> </w:t>
      </w:r>
      <w:r>
        <w:rPr>
          <w:w w:val="99"/>
        </w:rPr>
        <w:t>Ge</w:t>
      </w:r>
      <w:r>
        <w:rPr>
          <w:spacing w:val="1"/>
          <w:w w:val="99"/>
        </w:rPr>
        <w:t>n</w:t>
      </w:r>
      <w:r>
        <w:rPr>
          <w:w w:val="99"/>
        </w:rPr>
        <w:t>er</w:t>
      </w:r>
      <w:r>
        <w:rPr>
          <w:spacing w:val="-2"/>
          <w:w w:val="99"/>
        </w:rPr>
        <w:t>a</w:t>
      </w:r>
      <w:r>
        <w:rPr>
          <w:spacing w:val="2"/>
          <w:w w:val="99"/>
        </w:rPr>
        <w:t>l</w:t>
      </w:r>
      <w:r>
        <w:rPr>
          <w:w w:val="99"/>
        </w:rPr>
        <w:t>,</w:t>
      </w:r>
      <w:r>
        <w:rPr/>
        <w:t> </w:t>
      </w:r>
      <w:r>
        <w:rPr>
          <w:spacing w:val="-16"/>
        </w:rPr>
        <w:t> </w:t>
      </w:r>
      <w:r>
        <w:rPr>
          <w:spacing w:val="-1"/>
          <w:w w:val="99"/>
        </w:rPr>
        <w:t>s</w:t>
      </w:r>
      <w:r>
        <w:rPr>
          <w:w w:val="99"/>
        </w:rPr>
        <w:t>erá</w:t>
      </w:r>
      <w:r>
        <w:rPr/>
        <w:t> </w:t>
      </w:r>
      <w:r>
        <w:rPr>
          <w:spacing w:val="-16"/>
        </w:rPr>
        <w:t> </w:t>
      </w:r>
      <w:r>
        <w:rPr>
          <w:spacing w:val="-2"/>
          <w:w w:val="99"/>
        </w:rPr>
        <w:t>n</w:t>
      </w:r>
      <w:r>
        <w:rPr>
          <w:w w:val="99"/>
        </w:rPr>
        <w:t>e</w:t>
      </w:r>
      <w:r>
        <w:rPr>
          <w:spacing w:val="2"/>
          <w:w w:val="99"/>
        </w:rPr>
        <w:t>c</w:t>
      </w:r>
      <w:r>
        <w:rPr>
          <w:w w:val="99"/>
        </w:rPr>
        <w:t>e</w:t>
      </w:r>
      <w:r>
        <w:rPr>
          <w:spacing w:val="-1"/>
          <w:w w:val="99"/>
        </w:rPr>
        <w:t>s</w:t>
      </w:r>
      <w:r>
        <w:rPr>
          <w:w w:val="99"/>
        </w:rPr>
        <w:t>ar</w:t>
      </w:r>
      <w:r>
        <w:rPr>
          <w:spacing w:val="-1"/>
          <w:w w:val="99"/>
        </w:rPr>
        <w:t>i</w:t>
      </w:r>
      <w:r>
        <w:rPr>
          <w:w w:val="99"/>
        </w:rPr>
        <w:t>o</w:t>
      </w:r>
      <w:r>
        <w:rPr/>
        <w:t> </w:t>
      </w:r>
      <w:r>
        <w:rPr>
          <w:spacing w:val="-18"/>
        </w:rPr>
        <w:t> </w:t>
      </w:r>
      <w:r>
        <w:rPr>
          <w:w w:val="99"/>
        </w:rPr>
        <w:t>el</w:t>
      </w:r>
      <w:r>
        <w:rPr/>
        <w:t> </w:t>
      </w:r>
      <w:r>
        <w:rPr>
          <w:spacing w:val="-14"/>
        </w:rPr>
        <w:t> </w:t>
      </w:r>
      <w:r>
        <w:rPr>
          <w:spacing w:val="-2"/>
          <w:w w:val="99"/>
        </w:rPr>
        <w:t>v</w:t>
      </w:r>
      <w:r>
        <w:rPr>
          <w:spacing w:val="1"/>
          <w:w w:val="99"/>
        </w:rPr>
        <w:t>o</w:t>
      </w:r>
      <w:r>
        <w:rPr>
          <w:spacing w:val="-1"/>
          <w:w w:val="99"/>
        </w:rPr>
        <w:t>t</w:t>
      </w:r>
      <w:r>
        <w:rPr>
          <w:w w:val="99"/>
        </w:rPr>
        <w:t>o</w:t>
      </w:r>
      <w:r>
        <w:rPr/>
        <w:t> </w:t>
      </w:r>
      <w:r>
        <w:rPr>
          <w:spacing w:val="-15"/>
        </w:rPr>
        <w:t> </w:t>
      </w:r>
      <w:r>
        <w:rPr>
          <w:w w:val="99"/>
        </w:rPr>
        <w:t>fa</w:t>
      </w:r>
      <w:r>
        <w:rPr>
          <w:spacing w:val="-2"/>
          <w:w w:val="99"/>
        </w:rPr>
        <w:t>v</w:t>
      </w:r>
      <w:r>
        <w:rPr>
          <w:spacing w:val="1"/>
          <w:w w:val="99"/>
        </w:rPr>
        <w:t>o</w:t>
      </w:r>
      <w:r>
        <w:rPr>
          <w:spacing w:val="-2"/>
          <w:w w:val="99"/>
        </w:rPr>
        <w:t>r</w:t>
      </w:r>
      <w:r>
        <w:rPr>
          <w:spacing w:val="2"/>
          <w:w w:val="99"/>
        </w:rPr>
        <w:t>a</w:t>
      </w:r>
      <w:r>
        <w:rPr>
          <w:spacing w:val="-2"/>
          <w:w w:val="99"/>
        </w:rPr>
        <w:t>b</w:t>
      </w:r>
      <w:r>
        <w:rPr>
          <w:spacing w:val="2"/>
          <w:w w:val="99"/>
        </w:rPr>
        <w:t>l</w:t>
      </w:r>
      <w:r>
        <w:rPr>
          <w:w w:val="99"/>
        </w:rPr>
        <w:t>e</w:t>
      </w:r>
      <w:r>
        <w:rPr/>
        <w:t> </w:t>
      </w:r>
      <w:r>
        <w:rPr>
          <w:spacing w:val="-16"/>
        </w:rPr>
        <w:t> </w:t>
      </w:r>
      <w:r>
        <w:rPr>
          <w:spacing w:val="-2"/>
          <w:w w:val="99"/>
        </w:rPr>
        <w:t>d</w:t>
      </w:r>
      <w:r>
        <w:rPr>
          <w:w w:val="99"/>
        </w:rPr>
        <w:t>e</w:t>
      </w:r>
      <w:r>
        <w:rPr/>
        <w:t> </w:t>
      </w:r>
      <w:r>
        <w:rPr>
          <w:spacing w:val="-16"/>
        </w:rPr>
        <w:t> </w:t>
      </w:r>
      <w:r>
        <w:rPr>
          <w:spacing w:val="-1"/>
          <w:w w:val="99"/>
        </w:rPr>
        <w:t>l</w:t>
      </w:r>
      <w:r>
        <w:rPr>
          <w:w w:val="99"/>
        </w:rPr>
        <w:t>a</w:t>
      </w:r>
      <w:r>
        <w:rPr/>
        <w:t> </w:t>
      </w:r>
      <w:r>
        <w:rPr>
          <w:spacing w:val="-16"/>
        </w:rPr>
        <w:t> </w:t>
      </w:r>
      <w:r>
        <w:rPr>
          <w:spacing w:val="1"/>
          <w:w w:val="99"/>
        </w:rPr>
        <w:t>m</w:t>
      </w:r>
      <w:r>
        <w:rPr>
          <w:w w:val="99"/>
        </w:rPr>
        <w:t>a</w:t>
      </w:r>
      <w:r>
        <w:rPr>
          <w:spacing w:val="1"/>
          <w:w w:val="99"/>
        </w:rPr>
        <w:t>y</w:t>
      </w:r>
      <w:r>
        <w:rPr>
          <w:spacing w:val="-2"/>
          <w:w w:val="99"/>
        </w:rPr>
        <w:t>o</w:t>
      </w:r>
      <w:r>
        <w:rPr>
          <w:w w:val="99"/>
        </w:rPr>
        <w:t>r</w:t>
      </w:r>
      <w:r>
        <w:rPr>
          <w:spacing w:val="-1"/>
          <w:w w:val="99"/>
        </w:rPr>
        <w:t>í</w:t>
      </w:r>
      <w:r>
        <w:rPr>
          <w:w w:val="99"/>
        </w:rPr>
        <w:t>a</w:t>
      </w:r>
      <w:r>
        <w:rPr/>
        <w:t> </w:t>
      </w:r>
      <w:r>
        <w:rPr>
          <w:spacing w:val="-16"/>
        </w:rPr>
        <w:t> </w:t>
      </w:r>
      <w:r>
        <w:rPr>
          <w:spacing w:val="1"/>
          <w:w w:val="99"/>
        </w:rPr>
        <w:t>s</w:t>
      </w:r>
      <w:r>
        <w:rPr>
          <w:spacing w:val="-1"/>
          <w:w w:val="99"/>
        </w:rPr>
        <w:t>i</w:t>
      </w:r>
      <w:r>
        <w:rPr>
          <w:spacing w:val="1"/>
          <w:w w:val="99"/>
        </w:rPr>
        <w:t>m</w:t>
      </w:r>
      <w:r>
        <w:rPr>
          <w:spacing w:val="-2"/>
          <w:w w:val="99"/>
        </w:rPr>
        <w:t>p</w:t>
      </w:r>
      <w:r>
        <w:rPr>
          <w:spacing w:val="-1"/>
          <w:w w:val="99"/>
        </w:rPr>
        <w:t>l</w:t>
      </w:r>
      <w:r>
        <w:rPr>
          <w:w w:val="99"/>
        </w:rPr>
        <w:t>e</w:t>
      </w:r>
      <w:r>
        <w:rPr/>
        <w:t> </w:t>
      </w:r>
      <w:r>
        <w:rPr>
          <w:spacing w:val="-16"/>
        </w:rPr>
        <w:t> </w:t>
      </w:r>
      <w:r>
        <w:rPr>
          <w:spacing w:val="1"/>
          <w:w w:val="99"/>
        </w:rPr>
        <w:t>d</w:t>
      </w:r>
      <w:r>
        <w:rPr>
          <w:w w:val="99"/>
        </w:rPr>
        <w:t>e</w:t>
      </w:r>
      <w:r>
        <w:rPr/>
        <w:t> </w:t>
      </w:r>
      <w:r>
        <w:rPr>
          <w:spacing w:val="-16"/>
        </w:rPr>
        <w:t> </w:t>
      </w:r>
      <w:r>
        <w:rPr>
          <w:spacing w:val="1"/>
          <w:w w:val="99"/>
        </w:rPr>
        <w:t>m</w:t>
      </w:r>
      <w:r>
        <w:rPr>
          <w:spacing w:val="-1"/>
          <w:w w:val="99"/>
        </w:rPr>
        <w:t>i</w:t>
      </w:r>
      <w:r>
        <w:rPr>
          <w:w w:val="99"/>
        </w:rPr>
        <w:t>e</w:t>
      </w:r>
      <w:r>
        <w:rPr>
          <w:spacing w:val="1"/>
          <w:w w:val="99"/>
        </w:rPr>
        <w:t>m</w:t>
      </w:r>
      <w:r>
        <w:rPr>
          <w:spacing w:val="-2"/>
          <w:w w:val="99"/>
        </w:rPr>
        <w:t>b</w:t>
      </w:r>
      <w:r>
        <w:rPr>
          <w:w w:val="99"/>
        </w:rPr>
        <w:t>r</w:t>
      </w:r>
      <w:r>
        <w:rPr>
          <w:spacing w:val="1"/>
          <w:w w:val="99"/>
        </w:rPr>
        <w:t>o</w:t>
      </w:r>
      <w:r>
        <w:rPr>
          <w:w w:val="99"/>
        </w:rPr>
        <w:t>s</w:t>
      </w:r>
      <w:r>
        <w:rPr/>
        <w:t> </w:t>
      </w:r>
      <w:r>
        <w:rPr>
          <w:spacing w:val="-18"/>
        </w:rPr>
        <w:t> </w:t>
      </w:r>
      <w:r>
        <w:rPr>
          <w:spacing w:val="1"/>
          <w:w w:val="99"/>
        </w:rPr>
        <w:t>d</w:t>
      </w:r>
      <w:r>
        <w:rPr>
          <w:w w:val="99"/>
        </w:rPr>
        <w:t>e</w:t>
      </w:r>
      <w:r>
        <w:rPr/>
        <w:t> </w:t>
      </w:r>
      <w:r>
        <w:rPr>
          <w:spacing w:val="-16"/>
        </w:rPr>
        <w:t> </w:t>
      </w:r>
      <w:r>
        <w:rPr>
          <w:spacing w:val="-1"/>
          <w:w w:val="99"/>
        </w:rPr>
        <w:t>l</w:t>
      </w:r>
      <w:r>
        <w:rPr>
          <w:w w:val="99"/>
        </w:rPr>
        <w:t>a</w:t>
      </w:r>
    </w:p>
    <w:p>
      <w:pPr>
        <w:pStyle w:val="BodyText"/>
        <w:spacing w:line="216" w:lineRule="exact"/>
        <w:ind w:left="102"/>
      </w:pPr>
      <w:r>
        <w:rPr/>
        <w:t>Corporación presentes en la sesión.</w:t>
      </w:r>
    </w:p>
    <w:p>
      <w:pPr>
        <w:pStyle w:val="BodyText"/>
        <w:spacing w:before="1"/>
      </w:pPr>
    </w:p>
    <w:p>
      <w:pPr>
        <w:pStyle w:val="BodyText"/>
        <w:spacing w:line="242" w:lineRule="auto"/>
        <w:ind w:left="102" w:right="1692" w:firstLine="708"/>
        <w:jc w:val="both"/>
      </w:pPr>
      <w:r>
        <w:rPr/>
        <w:t>4º.- Únicamente podrán entablarse reclamaciones contra el Presupuesto por los motivos contenidos en el artículo 170.2 del RD Leg 2/2004.</w:t>
      </w:r>
    </w:p>
    <w:p>
      <w:pPr>
        <w:pStyle w:val="BodyText"/>
        <w:spacing w:before="10"/>
        <w:rPr>
          <w:sz w:val="19"/>
        </w:rPr>
      </w:pPr>
    </w:p>
    <w:p>
      <w:pPr>
        <w:pStyle w:val="BodyText"/>
        <w:spacing w:line="242" w:lineRule="auto"/>
        <w:ind w:left="102" w:right="1693" w:firstLine="707"/>
        <w:jc w:val="both"/>
      </w:pPr>
      <w:r>
        <w:rPr/>
        <w:t>5º.- Juntamente con el Presupuesto deberá aprobarse la Plantilla de Personal de la Corporación, de conformidad con lo dispuesto por el art. 126 del </w:t>
      </w:r>
      <w:r>
        <w:rPr>
          <w:spacing w:val="-3"/>
        </w:rPr>
        <w:t>Texto </w:t>
      </w:r>
      <w:r>
        <w:rPr/>
        <w:t>Refundido de las disposiciones legales vigentes en materia de régimen local, aprobado por R.D.L. 781/1986, de 18 de</w:t>
      </w:r>
      <w:r>
        <w:rPr>
          <w:spacing w:val="-2"/>
        </w:rPr>
        <w:t> </w:t>
      </w:r>
      <w:r>
        <w:rPr/>
        <w:t>abril.</w:t>
      </w:r>
    </w:p>
    <w:p>
      <w:pPr>
        <w:pStyle w:val="BodyText"/>
        <w:rPr>
          <w:sz w:val="22"/>
        </w:rPr>
      </w:pPr>
    </w:p>
    <w:p>
      <w:pPr>
        <w:pStyle w:val="BodyText"/>
        <w:spacing w:before="9"/>
        <w:rPr>
          <w:sz w:val="17"/>
        </w:rPr>
      </w:pPr>
    </w:p>
    <w:p>
      <w:pPr>
        <w:pStyle w:val="BodyText"/>
        <w:ind w:left="504" w:right="2093"/>
        <w:jc w:val="center"/>
      </w:pPr>
      <w:r>
        <w:rPr/>
        <w:t>EL INTERVENTOR</w:t>
      </w:r>
    </w:p>
    <w:p>
      <w:pPr>
        <w:pStyle w:val="BodyText"/>
        <w:spacing w:before="3"/>
        <w:ind w:left="504" w:right="2092"/>
        <w:jc w:val="center"/>
      </w:pPr>
      <w:r>
        <w:rPr/>
        <w:t>Fdo.: Miguel Ángel Naverán Guerra</w:t>
      </w:r>
    </w:p>
    <w:sectPr>
      <w:pgSz w:w="11900" w:h="16840"/>
      <w:pgMar w:header="696" w:footer="0" w:top="2480" w:bottom="280" w:left="8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261952">
          <wp:simplePos x="0" y="0"/>
          <wp:positionH relativeFrom="page">
            <wp:posOffset>1106424</wp:posOffset>
          </wp:positionH>
          <wp:positionV relativeFrom="page">
            <wp:posOffset>441954</wp:posOffset>
          </wp:positionV>
          <wp:extent cx="507491" cy="78638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07491" cy="78638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999977pt;margin-top:113.93029pt;width:104.2pt;height:12pt;mso-position-horizontal-relative:page;mso-position-vertical-relative:page;z-index:-252053504" type="#_x0000_t202" filled="false" stroked="false">
          <v:textbox inset="0,0,0,0">
            <w:txbxContent>
              <w:p>
                <w:pPr>
                  <w:spacing w:line="223" w:lineRule="exact" w:before="0"/>
                  <w:ind w:left="20" w:right="0" w:firstLine="0"/>
                  <w:jc w:val="left"/>
                  <w:rPr>
                    <w:rFonts w:ascii="Calibri" w:hAnsi="Calibri"/>
                    <w:b/>
                    <w:sz w:val="20"/>
                  </w:rPr>
                </w:pPr>
                <w:r>
                  <w:rPr>
                    <w:rFonts w:ascii="Calibri" w:hAnsi="Calibri"/>
                    <w:b/>
                    <w:spacing w:val="-4"/>
                    <w:sz w:val="20"/>
                  </w:rPr>
                  <w:t>AYUNTAMIENTO </w:t>
                </w:r>
                <w:r>
                  <w:rPr>
                    <w:rFonts w:ascii="Calibri" w:hAnsi="Calibri"/>
                    <w:b/>
                    <w:sz w:val="20"/>
                  </w:rPr>
                  <w:t>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2" w:hanging="264"/>
      </w:pPr>
      <w:rPr>
        <w:rFonts w:hint="default" w:ascii="Times New Roman" w:hAnsi="Times New Roman" w:eastAsia="Times New Roman" w:cs="Times New Roman"/>
        <w:w w:val="99"/>
        <w:sz w:val="20"/>
        <w:szCs w:val="20"/>
      </w:rPr>
    </w:lvl>
    <w:lvl w:ilvl="1">
      <w:start w:val="0"/>
      <w:numFmt w:val="bullet"/>
      <w:lvlText w:val="•"/>
      <w:lvlJc w:val="left"/>
      <w:pPr>
        <w:ind w:left="1200" w:hanging="264"/>
      </w:pPr>
      <w:rPr>
        <w:rFonts w:hint="default"/>
      </w:rPr>
    </w:lvl>
    <w:lvl w:ilvl="2">
      <w:start w:val="0"/>
      <w:numFmt w:val="bullet"/>
      <w:lvlText w:val="•"/>
      <w:lvlJc w:val="left"/>
      <w:pPr>
        <w:ind w:left="2300" w:hanging="264"/>
      </w:pPr>
      <w:rPr>
        <w:rFonts w:hint="default"/>
      </w:rPr>
    </w:lvl>
    <w:lvl w:ilvl="3">
      <w:start w:val="0"/>
      <w:numFmt w:val="bullet"/>
      <w:lvlText w:val="•"/>
      <w:lvlJc w:val="left"/>
      <w:pPr>
        <w:ind w:left="3400" w:hanging="264"/>
      </w:pPr>
      <w:rPr>
        <w:rFonts w:hint="default"/>
      </w:rPr>
    </w:lvl>
    <w:lvl w:ilvl="4">
      <w:start w:val="0"/>
      <w:numFmt w:val="bullet"/>
      <w:lvlText w:val="•"/>
      <w:lvlJc w:val="left"/>
      <w:pPr>
        <w:ind w:left="4500" w:hanging="264"/>
      </w:pPr>
      <w:rPr>
        <w:rFonts w:hint="default"/>
      </w:rPr>
    </w:lvl>
    <w:lvl w:ilvl="5">
      <w:start w:val="0"/>
      <w:numFmt w:val="bullet"/>
      <w:lvlText w:val="•"/>
      <w:lvlJc w:val="left"/>
      <w:pPr>
        <w:ind w:left="5600" w:hanging="264"/>
      </w:pPr>
      <w:rPr>
        <w:rFonts w:hint="default"/>
      </w:rPr>
    </w:lvl>
    <w:lvl w:ilvl="6">
      <w:start w:val="0"/>
      <w:numFmt w:val="bullet"/>
      <w:lvlText w:val="•"/>
      <w:lvlJc w:val="left"/>
      <w:pPr>
        <w:ind w:left="6700" w:hanging="264"/>
      </w:pPr>
      <w:rPr>
        <w:rFonts w:hint="default"/>
      </w:rPr>
    </w:lvl>
    <w:lvl w:ilvl="7">
      <w:start w:val="0"/>
      <w:numFmt w:val="bullet"/>
      <w:lvlText w:val="•"/>
      <w:lvlJc w:val="left"/>
      <w:pPr>
        <w:ind w:left="7800" w:hanging="264"/>
      </w:pPr>
      <w:rPr>
        <w:rFonts w:hint="default"/>
      </w:rPr>
    </w:lvl>
    <w:lvl w:ilvl="8">
      <w:start w:val="0"/>
      <w:numFmt w:val="bullet"/>
      <w:lvlText w:val="•"/>
      <w:lvlJc w:val="left"/>
      <w:pPr>
        <w:ind w:left="8900" w:hanging="264"/>
      </w:pPr>
      <w:rPr>
        <w:rFonts w:hint="default"/>
      </w:rPr>
    </w:lvl>
  </w:abstractNum>
  <w:abstractNum w:abstractNumId="7">
    <w:multiLevelType w:val="hybridMultilevel"/>
    <w:lvl w:ilvl="0">
      <w:start w:val="1"/>
      <w:numFmt w:val="lowerLetter"/>
      <w:lvlText w:val="%1)"/>
      <w:lvlJc w:val="left"/>
      <w:pPr>
        <w:ind w:left="102" w:hanging="209"/>
        <w:jc w:val="left"/>
      </w:pPr>
      <w:rPr>
        <w:rFonts w:hint="default" w:ascii="Times New Roman" w:hAnsi="Times New Roman" w:eastAsia="Times New Roman" w:cs="Times New Roman"/>
        <w:w w:val="99"/>
        <w:sz w:val="20"/>
        <w:szCs w:val="20"/>
      </w:rPr>
    </w:lvl>
    <w:lvl w:ilvl="1">
      <w:start w:val="0"/>
      <w:numFmt w:val="bullet"/>
      <w:lvlText w:val="•"/>
      <w:lvlJc w:val="left"/>
      <w:pPr>
        <w:ind w:left="1200" w:hanging="209"/>
      </w:pPr>
      <w:rPr>
        <w:rFonts w:hint="default"/>
      </w:rPr>
    </w:lvl>
    <w:lvl w:ilvl="2">
      <w:start w:val="0"/>
      <w:numFmt w:val="bullet"/>
      <w:lvlText w:val="•"/>
      <w:lvlJc w:val="left"/>
      <w:pPr>
        <w:ind w:left="2300" w:hanging="209"/>
      </w:pPr>
      <w:rPr>
        <w:rFonts w:hint="default"/>
      </w:rPr>
    </w:lvl>
    <w:lvl w:ilvl="3">
      <w:start w:val="0"/>
      <w:numFmt w:val="bullet"/>
      <w:lvlText w:val="•"/>
      <w:lvlJc w:val="left"/>
      <w:pPr>
        <w:ind w:left="3400" w:hanging="209"/>
      </w:pPr>
      <w:rPr>
        <w:rFonts w:hint="default"/>
      </w:rPr>
    </w:lvl>
    <w:lvl w:ilvl="4">
      <w:start w:val="0"/>
      <w:numFmt w:val="bullet"/>
      <w:lvlText w:val="•"/>
      <w:lvlJc w:val="left"/>
      <w:pPr>
        <w:ind w:left="4500" w:hanging="209"/>
      </w:pPr>
      <w:rPr>
        <w:rFonts w:hint="default"/>
      </w:rPr>
    </w:lvl>
    <w:lvl w:ilvl="5">
      <w:start w:val="0"/>
      <w:numFmt w:val="bullet"/>
      <w:lvlText w:val="•"/>
      <w:lvlJc w:val="left"/>
      <w:pPr>
        <w:ind w:left="5600" w:hanging="209"/>
      </w:pPr>
      <w:rPr>
        <w:rFonts w:hint="default"/>
      </w:rPr>
    </w:lvl>
    <w:lvl w:ilvl="6">
      <w:start w:val="0"/>
      <w:numFmt w:val="bullet"/>
      <w:lvlText w:val="•"/>
      <w:lvlJc w:val="left"/>
      <w:pPr>
        <w:ind w:left="6700" w:hanging="209"/>
      </w:pPr>
      <w:rPr>
        <w:rFonts w:hint="default"/>
      </w:rPr>
    </w:lvl>
    <w:lvl w:ilvl="7">
      <w:start w:val="0"/>
      <w:numFmt w:val="bullet"/>
      <w:lvlText w:val="•"/>
      <w:lvlJc w:val="left"/>
      <w:pPr>
        <w:ind w:left="7800" w:hanging="209"/>
      </w:pPr>
      <w:rPr>
        <w:rFonts w:hint="default"/>
      </w:rPr>
    </w:lvl>
    <w:lvl w:ilvl="8">
      <w:start w:val="0"/>
      <w:numFmt w:val="bullet"/>
      <w:lvlText w:val="•"/>
      <w:lvlJc w:val="left"/>
      <w:pPr>
        <w:ind w:left="8900" w:hanging="209"/>
      </w:pPr>
      <w:rPr>
        <w:rFonts w:hint="default"/>
      </w:rPr>
    </w:lvl>
  </w:abstractNum>
  <w:abstractNum w:abstractNumId="6">
    <w:multiLevelType w:val="hybridMultilevel"/>
    <w:lvl w:ilvl="0">
      <w:start w:val="2"/>
      <w:numFmt w:val="upperLetter"/>
      <w:lvlText w:val="%1"/>
      <w:lvlJc w:val="left"/>
      <w:pPr>
        <w:ind w:left="102" w:hanging="404"/>
        <w:jc w:val="left"/>
      </w:pPr>
      <w:rPr>
        <w:rFonts w:hint="default"/>
      </w:rPr>
    </w:lvl>
    <w:lvl w:ilvl="1">
      <w:start w:val="1"/>
      <w:numFmt w:val="decimal"/>
      <w:lvlText w:val="%1.%2."/>
      <w:lvlJc w:val="left"/>
      <w:pPr>
        <w:ind w:left="102" w:hanging="404"/>
        <w:jc w:val="left"/>
      </w:pPr>
      <w:rPr>
        <w:rFonts w:hint="default" w:ascii="Times New Roman" w:hAnsi="Times New Roman" w:eastAsia="Times New Roman" w:cs="Times New Roman"/>
        <w:b/>
        <w:bCs/>
        <w:spacing w:val="-1"/>
        <w:w w:val="99"/>
        <w:sz w:val="20"/>
        <w:szCs w:val="20"/>
      </w:rPr>
    </w:lvl>
    <w:lvl w:ilvl="2">
      <w:start w:val="0"/>
      <w:numFmt w:val="bullet"/>
      <w:lvlText w:val="•"/>
      <w:lvlJc w:val="left"/>
      <w:pPr>
        <w:ind w:left="2300" w:hanging="404"/>
      </w:pPr>
      <w:rPr>
        <w:rFonts w:hint="default"/>
      </w:rPr>
    </w:lvl>
    <w:lvl w:ilvl="3">
      <w:start w:val="0"/>
      <w:numFmt w:val="bullet"/>
      <w:lvlText w:val="•"/>
      <w:lvlJc w:val="left"/>
      <w:pPr>
        <w:ind w:left="3400" w:hanging="404"/>
      </w:pPr>
      <w:rPr>
        <w:rFonts w:hint="default"/>
      </w:rPr>
    </w:lvl>
    <w:lvl w:ilvl="4">
      <w:start w:val="0"/>
      <w:numFmt w:val="bullet"/>
      <w:lvlText w:val="•"/>
      <w:lvlJc w:val="left"/>
      <w:pPr>
        <w:ind w:left="4500" w:hanging="404"/>
      </w:pPr>
      <w:rPr>
        <w:rFonts w:hint="default"/>
      </w:rPr>
    </w:lvl>
    <w:lvl w:ilvl="5">
      <w:start w:val="0"/>
      <w:numFmt w:val="bullet"/>
      <w:lvlText w:val="•"/>
      <w:lvlJc w:val="left"/>
      <w:pPr>
        <w:ind w:left="5600" w:hanging="404"/>
      </w:pPr>
      <w:rPr>
        <w:rFonts w:hint="default"/>
      </w:rPr>
    </w:lvl>
    <w:lvl w:ilvl="6">
      <w:start w:val="0"/>
      <w:numFmt w:val="bullet"/>
      <w:lvlText w:val="•"/>
      <w:lvlJc w:val="left"/>
      <w:pPr>
        <w:ind w:left="6700" w:hanging="404"/>
      </w:pPr>
      <w:rPr>
        <w:rFonts w:hint="default"/>
      </w:rPr>
    </w:lvl>
    <w:lvl w:ilvl="7">
      <w:start w:val="0"/>
      <w:numFmt w:val="bullet"/>
      <w:lvlText w:val="•"/>
      <w:lvlJc w:val="left"/>
      <w:pPr>
        <w:ind w:left="7800" w:hanging="404"/>
      </w:pPr>
      <w:rPr>
        <w:rFonts w:hint="default"/>
      </w:rPr>
    </w:lvl>
    <w:lvl w:ilvl="8">
      <w:start w:val="0"/>
      <w:numFmt w:val="bullet"/>
      <w:lvlText w:val="•"/>
      <w:lvlJc w:val="left"/>
      <w:pPr>
        <w:ind w:left="8900" w:hanging="404"/>
      </w:pPr>
      <w:rPr>
        <w:rFonts w:hint="default"/>
      </w:rPr>
    </w:lvl>
  </w:abstractNum>
  <w:abstractNum w:abstractNumId="5">
    <w:multiLevelType w:val="hybridMultilevel"/>
    <w:lvl w:ilvl="0">
      <w:start w:val="1"/>
      <w:numFmt w:val="lowerLetter"/>
      <w:lvlText w:val="%1)"/>
      <w:lvlJc w:val="left"/>
      <w:pPr>
        <w:ind w:left="551" w:hanging="449"/>
        <w:jc w:val="left"/>
      </w:pPr>
      <w:rPr>
        <w:rFonts w:hint="default" w:ascii="Times New Roman" w:hAnsi="Times New Roman" w:eastAsia="Times New Roman" w:cs="Times New Roman"/>
        <w:w w:val="99"/>
        <w:sz w:val="20"/>
        <w:szCs w:val="20"/>
      </w:rPr>
    </w:lvl>
    <w:lvl w:ilvl="1">
      <w:start w:val="0"/>
      <w:numFmt w:val="bullet"/>
      <w:lvlText w:val="•"/>
      <w:lvlJc w:val="left"/>
      <w:pPr>
        <w:ind w:left="1614" w:hanging="449"/>
      </w:pPr>
      <w:rPr>
        <w:rFonts w:hint="default"/>
      </w:rPr>
    </w:lvl>
    <w:lvl w:ilvl="2">
      <w:start w:val="0"/>
      <w:numFmt w:val="bullet"/>
      <w:lvlText w:val="•"/>
      <w:lvlJc w:val="left"/>
      <w:pPr>
        <w:ind w:left="2668" w:hanging="449"/>
      </w:pPr>
      <w:rPr>
        <w:rFonts w:hint="default"/>
      </w:rPr>
    </w:lvl>
    <w:lvl w:ilvl="3">
      <w:start w:val="0"/>
      <w:numFmt w:val="bullet"/>
      <w:lvlText w:val="•"/>
      <w:lvlJc w:val="left"/>
      <w:pPr>
        <w:ind w:left="3722" w:hanging="449"/>
      </w:pPr>
      <w:rPr>
        <w:rFonts w:hint="default"/>
      </w:rPr>
    </w:lvl>
    <w:lvl w:ilvl="4">
      <w:start w:val="0"/>
      <w:numFmt w:val="bullet"/>
      <w:lvlText w:val="•"/>
      <w:lvlJc w:val="left"/>
      <w:pPr>
        <w:ind w:left="4776" w:hanging="449"/>
      </w:pPr>
      <w:rPr>
        <w:rFonts w:hint="default"/>
      </w:rPr>
    </w:lvl>
    <w:lvl w:ilvl="5">
      <w:start w:val="0"/>
      <w:numFmt w:val="bullet"/>
      <w:lvlText w:val="•"/>
      <w:lvlJc w:val="left"/>
      <w:pPr>
        <w:ind w:left="5830" w:hanging="449"/>
      </w:pPr>
      <w:rPr>
        <w:rFonts w:hint="default"/>
      </w:rPr>
    </w:lvl>
    <w:lvl w:ilvl="6">
      <w:start w:val="0"/>
      <w:numFmt w:val="bullet"/>
      <w:lvlText w:val="•"/>
      <w:lvlJc w:val="left"/>
      <w:pPr>
        <w:ind w:left="6884" w:hanging="449"/>
      </w:pPr>
      <w:rPr>
        <w:rFonts w:hint="default"/>
      </w:rPr>
    </w:lvl>
    <w:lvl w:ilvl="7">
      <w:start w:val="0"/>
      <w:numFmt w:val="bullet"/>
      <w:lvlText w:val="•"/>
      <w:lvlJc w:val="left"/>
      <w:pPr>
        <w:ind w:left="7938" w:hanging="449"/>
      </w:pPr>
      <w:rPr>
        <w:rFonts w:hint="default"/>
      </w:rPr>
    </w:lvl>
    <w:lvl w:ilvl="8">
      <w:start w:val="0"/>
      <w:numFmt w:val="bullet"/>
      <w:lvlText w:val="•"/>
      <w:lvlJc w:val="left"/>
      <w:pPr>
        <w:ind w:left="8992" w:hanging="449"/>
      </w:pPr>
      <w:rPr>
        <w:rFonts w:hint="default"/>
      </w:rPr>
    </w:lvl>
  </w:abstractNum>
  <w:abstractNum w:abstractNumId="4">
    <w:multiLevelType w:val="hybridMultilevel"/>
    <w:lvl w:ilvl="0">
      <w:start w:val="1"/>
      <w:numFmt w:val="upperLetter"/>
      <w:lvlText w:val="%1"/>
      <w:lvlJc w:val="left"/>
      <w:pPr>
        <w:ind w:left="1218" w:hanging="396"/>
        <w:jc w:val="left"/>
      </w:pPr>
      <w:rPr>
        <w:rFonts w:hint="default"/>
      </w:rPr>
    </w:lvl>
    <w:lvl w:ilvl="1">
      <w:start w:val="4"/>
      <w:numFmt w:val="decimal"/>
      <w:lvlText w:val="%1.%2."/>
      <w:lvlJc w:val="left"/>
      <w:pPr>
        <w:ind w:left="1218" w:hanging="396"/>
        <w:jc w:val="left"/>
      </w:pPr>
      <w:rPr>
        <w:rFonts w:hint="default" w:ascii="Times New Roman" w:hAnsi="Times New Roman" w:eastAsia="Times New Roman" w:cs="Times New Roman"/>
        <w:b/>
        <w:bCs/>
        <w:w w:val="99"/>
        <w:sz w:val="20"/>
        <w:szCs w:val="20"/>
      </w:rPr>
    </w:lvl>
    <w:lvl w:ilvl="2">
      <w:start w:val="0"/>
      <w:numFmt w:val="bullet"/>
      <w:lvlText w:val="•"/>
      <w:lvlJc w:val="left"/>
      <w:pPr>
        <w:ind w:left="3196" w:hanging="396"/>
      </w:pPr>
      <w:rPr>
        <w:rFonts w:hint="default"/>
      </w:rPr>
    </w:lvl>
    <w:lvl w:ilvl="3">
      <w:start w:val="0"/>
      <w:numFmt w:val="bullet"/>
      <w:lvlText w:val="•"/>
      <w:lvlJc w:val="left"/>
      <w:pPr>
        <w:ind w:left="4184" w:hanging="396"/>
      </w:pPr>
      <w:rPr>
        <w:rFonts w:hint="default"/>
      </w:rPr>
    </w:lvl>
    <w:lvl w:ilvl="4">
      <w:start w:val="0"/>
      <w:numFmt w:val="bullet"/>
      <w:lvlText w:val="•"/>
      <w:lvlJc w:val="left"/>
      <w:pPr>
        <w:ind w:left="5172" w:hanging="396"/>
      </w:pPr>
      <w:rPr>
        <w:rFonts w:hint="default"/>
      </w:rPr>
    </w:lvl>
    <w:lvl w:ilvl="5">
      <w:start w:val="0"/>
      <w:numFmt w:val="bullet"/>
      <w:lvlText w:val="•"/>
      <w:lvlJc w:val="left"/>
      <w:pPr>
        <w:ind w:left="6160" w:hanging="396"/>
      </w:pPr>
      <w:rPr>
        <w:rFonts w:hint="default"/>
      </w:rPr>
    </w:lvl>
    <w:lvl w:ilvl="6">
      <w:start w:val="0"/>
      <w:numFmt w:val="bullet"/>
      <w:lvlText w:val="•"/>
      <w:lvlJc w:val="left"/>
      <w:pPr>
        <w:ind w:left="7148" w:hanging="396"/>
      </w:pPr>
      <w:rPr>
        <w:rFonts w:hint="default"/>
      </w:rPr>
    </w:lvl>
    <w:lvl w:ilvl="7">
      <w:start w:val="0"/>
      <w:numFmt w:val="bullet"/>
      <w:lvlText w:val="•"/>
      <w:lvlJc w:val="left"/>
      <w:pPr>
        <w:ind w:left="8136" w:hanging="396"/>
      </w:pPr>
      <w:rPr>
        <w:rFonts w:hint="default"/>
      </w:rPr>
    </w:lvl>
    <w:lvl w:ilvl="8">
      <w:start w:val="0"/>
      <w:numFmt w:val="bullet"/>
      <w:lvlText w:val="•"/>
      <w:lvlJc w:val="left"/>
      <w:pPr>
        <w:ind w:left="9124" w:hanging="396"/>
      </w:pPr>
      <w:rPr>
        <w:rFonts w:hint="default"/>
      </w:rPr>
    </w:lvl>
  </w:abstractNum>
  <w:abstractNum w:abstractNumId="3">
    <w:multiLevelType w:val="hybridMultilevel"/>
    <w:lvl w:ilvl="0">
      <w:start w:val="2"/>
      <w:numFmt w:val="decimal"/>
      <w:lvlText w:val="%1."/>
      <w:lvlJc w:val="left"/>
      <w:pPr>
        <w:ind w:left="301" w:hanging="200"/>
        <w:jc w:val="left"/>
      </w:pPr>
      <w:rPr>
        <w:rFonts w:hint="default" w:ascii="Times New Roman" w:hAnsi="Times New Roman" w:eastAsia="Times New Roman" w:cs="Times New Roman"/>
        <w:i/>
        <w:spacing w:val="0"/>
        <w:w w:val="99"/>
        <w:sz w:val="20"/>
        <w:szCs w:val="20"/>
      </w:rPr>
    </w:lvl>
    <w:lvl w:ilvl="1">
      <w:start w:val="1"/>
      <w:numFmt w:val="lowerLetter"/>
      <w:lvlText w:val="%2."/>
      <w:lvlJc w:val="left"/>
      <w:pPr>
        <w:ind w:left="822" w:hanging="360"/>
        <w:jc w:val="left"/>
      </w:pPr>
      <w:rPr>
        <w:rFonts w:hint="default"/>
        <w:i/>
        <w:spacing w:val="0"/>
        <w:w w:val="99"/>
      </w:rPr>
    </w:lvl>
    <w:lvl w:ilvl="2">
      <w:start w:val="0"/>
      <w:numFmt w:val="bullet"/>
      <w:lvlText w:val="•"/>
      <w:lvlJc w:val="left"/>
      <w:pPr>
        <w:ind w:left="1962"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4246" w:hanging="360"/>
      </w:pPr>
      <w:rPr>
        <w:rFonts w:hint="default"/>
      </w:rPr>
    </w:lvl>
    <w:lvl w:ilvl="5">
      <w:start w:val="0"/>
      <w:numFmt w:val="bullet"/>
      <w:lvlText w:val="•"/>
      <w:lvlJc w:val="left"/>
      <w:pPr>
        <w:ind w:left="5388" w:hanging="360"/>
      </w:pPr>
      <w:rPr>
        <w:rFonts w:hint="default"/>
      </w:rPr>
    </w:lvl>
    <w:lvl w:ilvl="6">
      <w:start w:val="0"/>
      <w:numFmt w:val="bullet"/>
      <w:lvlText w:val="•"/>
      <w:lvlJc w:val="left"/>
      <w:pPr>
        <w:ind w:left="6531" w:hanging="360"/>
      </w:pPr>
      <w:rPr>
        <w:rFonts w:hint="default"/>
      </w:rPr>
    </w:lvl>
    <w:lvl w:ilvl="7">
      <w:start w:val="0"/>
      <w:numFmt w:val="bullet"/>
      <w:lvlText w:val="•"/>
      <w:lvlJc w:val="left"/>
      <w:pPr>
        <w:ind w:left="7673" w:hanging="360"/>
      </w:pPr>
      <w:rPr>
        <w:rFonts w:hint="default"/>
      </w:rPr>
    </w:lvl>
    <w:lvl w:ilvl="8">
      <w:start w:val="0"/>
      <w:numFmt w:val="bullet"/>
      <w:lvlText w:val="•"/>
      <w:lvlJc w:val="left"/>
      <w:pPr>
        <w:ind w:left="8815" w:hanging="360"/>
      </w:pPr>
      <w:rPr>
        <w:rFonts w:hint="default"/>
      </w:rPr>
    </w:lvl>
  </w:abstractNum>
  <w:abstractNum w:abstractNumId="2">
    <w:multiLevelType w:val="hybridMultilevel"/>
    <w:lvl w:ilvl="0">
      <w:start w:val="1"/>
      <w:numFmt w:val="upperLetter"/>
      <w:lvlText w:val="%1"/>
      <w:lvlJc w:val="left"/>
      <w:pPr>
        <w:ind w:left="1155" w:hanging="346"/>
        <w:jc w:val="left"/>
      </w:pPr>
      <w:rPr>
        <w:rFonts w:hint="default"/>
      </w:rPr>
    </w:lvl>
    <w:lvl w:ilvl="1">
      <w:start w:val="2"/>
      <w:numFmt w:val="decimal"/>
      <w:lvlText w:val="%1.%2"/>
      <w:lvlJc w:val="left"/>
      <w:pPr>
        <w:ind w:left="1155" w:hanging="346"/>
        <w:jc w:val="left"/>
      </w:pPr>
      <w:rPr>
        <w:rFonts w:hint="default" w:ascii="Times New Roman" w:hAnsi="Times New Roman" w:eastAsia="Times New Roman" w:cs="Times New Roman"/>
        <w:b/>
        <w:bCs/>
        <w:w w:val="99"/>
        <w:sz w:val="20"/>
        <w:szCs w:val="20"/>
      </w:rPr>
    </w:lvl>
    <w:lvl w:ilvl="2">
      <w:start w:val="0"/>
      <w:numFmt w:val="bullet"/>
      <w:lvlText w:val="•"/>
      <w:lvlJc w:val="left"/>
      <w:pPr>
        <w:ind w:left="3148" w:hanging="346"/>
      </w:pPr>
      <w:rPr>
        <w:rFonts w:hint="default"/>
      </w:rPr>
    </w:lvl>
    <w:lvl w:ilvl="3">
      <w:start w:val="0"/>
      <w:numFmt w:val="bullet"/>
      <w:lvlText w:val="•"/>
      <w:lvlJc w:val="left"/>
      <w:pPr>
        <w:ind w:left="4142" w:hanging="346"/>
      </w:pPr>
      <w:rPr>
        <w:rFonts w:hint="default"/>
      </w:rPr>
    </w:lvl>
    <w:lvl w:ilvl="4">
      <w:start w:val="0"/>
      <w:numFmt w:val="bullet"/>
      <w:lvlText w:val="•"/>
      <w:lvlJc w:val="left"/>
      <w:pPr>
        <w:ind w:left="5136" w:hanging="346"/>
      </w:pPr>
      <w:rPr>
        <w:rFonts w:hint="default"/>
      </w:rPr>
    </w:lvl>
    <w:lvl w:ilvl="5">
      <w:start w:val="0"/>
      <w:numFmt w:val="bullet"/>
      <w:lvlText w:val="•"/>
      <w:lvlJc w:val="left"/>
      <w:pPr>
        <w:ind w:left="6130" w:hanging="346"/>
      </w:pPr>
      <w:rPr>
        <w:rFonts w:hint="default"/>
      </w:rPr>
    </w:lvl>
    <w:lvl w:ilvl="6">
      <w:start w:val="0"/>
      <w:numFmt w:val="bullet"/>
      <w:lvlText w:val="•"/>
      <w:lvlJc w:val="left"/>
      <w:pPr>
        <w:ind w:left="7124" w:hanging="346"/>
      </w:pPr>
      <w:rPr>
        <w:rFonts w:hint="default"/>
      </w:rPr>
    </w:lvl>
    <w:lvl w:ilvl="7">
      <w:start w:val="0"/>
      <w:numFmt w:val="bullet"/>
      <w:lvlText w:val="•"/>
      <w:lvlJc w:val="left"/>
      <w:pPr>
        <w:ind w:left="8118" w:hanging="346"/>
      </w:pPr>
      <w:rPr>
        <w:rFonts w:hint="default"/>
      </w:rPr>
    </w:lvl>
    <w:lvl w:ilvl="8">
      <w:start w:val="0"/>
      <w:numFmt w:val="bullet"/>
      <w:lvlText w:val="•"/>
      <w:lvlJc w:val="left"/>
      <w:pPr>
        <w:ind w:left="9112" w:hanging="346"/>
      </w:pPr>
      <w:rPr>
        <w:rFonts w:hint="default"/>
      </w:rPr>
    </w:lvl>
  </w:abstractNum>
  <w:abstractNum w:abstractNumId="1">
    <w:multiLevelType w:val="hybridMultilevel"/>
    <w:lvl w:ilvl="0">
      <w:start w:val="1"/>
      <w:numFmt w:val="lowerLetter"/>
      <w:lvlText w:val="%1)"/>
      <w:lvlJc w:val="left"/>
      <w:pPr>
        <w:ind w:left="102" w:hanging="269"/>
        <w:jc w:val="left"/>
      </w:pPr>
      <w:rPr>
        <w:rFonts w:hint="default" w:ascii="Times New Roman" w:hAnsi="Times New Roman" w:eastAsia="Times New Roman" w:cs="Times New Roman"/>
        <w:spacing w:val="-2"/>
        <w:w w:val="99"/>
        <w:sz w:val="20"/>
        <w:szCs w:val="20"/>
      </w:rPr>
    </w:lvl>
    <w:lvl w:ilvl="1">
      <w:start w:val="1"/>
      <w:numFmt w:val="upperLetter"/>
      <w:lvlText w:val="%2)"/>
      <w:lvlJc w:val="left"/>
      <w:pPr>
        <w:ind w:left="4383" w:hanging="312"/>
        <w:jc w:val="left"/>
      </w:pPr>
      <w:rPr>
        <w:rFonts w:hint="default" w:ascii="Times New Roman" w:hAnsi="Times New Roman" w:eastAsia="Times New Roman" w:cs="Times New Roman"/>
        <w:b/>
        <w:bCs/>
        <w:spacing w:val="-1"/>
        <w:w w:val="99"/>
        <w:sz w:val="24"/>
        <w:szCs w:val="24"/>
      </w:rPr>
    </w:lvl>
    <w:lvl w:ilvl="2">
      <w:start w:val="0"/>
      <w:numFmt w:val="bullet"/>
      <w:lvlText w:val="•"/>
      <w:lvlJc w:val="left"/>
      <w:pPr>
        <w:ind w:left="5126" w:hanging="312"/>
      </w:pPr>
      <w:rPr>
        <w:rFonts w:hint="default"/>
      </w:rPr>
    </w:lvl>
    <w:lvl w:ilvl="3">
      <w:start w:val="0"/>
      <w:numFmt w:val="bullet"/>
      <w:lvlText w:val="•"/>
      <w:lvlJc w:val="left"/>
      <w:pPr>
        <w:ind w:left="5873" w:hanging="312"/>
      </w:pPr>
      <w:rPr>
        <w:rFonts w:hint="default"/>
      </w:rPr>
    </w:lvl>
    <w:lvl w:ilvl="4">
      <w:start w:val="0"/>
      <w:numFmt w:val="bullet"/>
      <w:lvlText w:val="•"/>
      <w:lvlJc w:val="left"/>
      <w:pPr>
        <w:ind w:left="6620" w:hanging="312"/>
      </w:pPr>
      <w:rPr>
        <w:rFonts w:hint="default"/>
      </w:rPr>
    </w:lvl>
    <w:lvl w:ilvl="5">
      <w:start w:val="0"/>
      <w:numFmt w:val="bullet"/>
      <w:lvlText w:val="•"/>
      <w:lvlJc w:val="left"/>
      <w:pPr>
        <w:ind w:left="7366" w:hanging="312"/>
      </w:pPr>
      <w:rPr>
        <w:rFonts w:hint="default"/>
      </w:rPr>
    </w:lvl>
    <w:lvl w:ilvl="6">
      <w:start w:val="0"/>
      <w:numFmt w:val="bullet"/>
      <w:lvlText w:val="•"/>
      <w:lvlJc w:val="left"/>
      <w:pPr>
        <w:ind w:left="8113" w:hanging="312"/>
      </w:pPr>
      <w:rPr>
        <w:rFonts w:hint="default"/>
      </w:rPr>
    </w:lvl>
    <w:lvl w:ilvl="7">
      <w:start w:val="0"/>
      <w:numFmt w:val="bullet"/>
      <w:lvlText w:val="•"/>
      <w:lvlJc w:val="left"/>
      <w:pPr>
        <w:ind w:left="8860" w:hanging="312"/>
      </w:pPr>
      <w:rPr>
        <w:rFonts w:hint="default"/>
      </w:rPr>
    </w:lvl>
    <w:lvl w:ilvl="8">
      <w:start w:val="0"/>
      <w:numFmt w:val="bullet"/>
      <w:lvlText w:val="•"/>
      <w:lvlJc w:val="left"/>
      <w:pPr>
        <w:ind w:left="9606" w:hanging="312"/>
      </w:pPr>
      <w:rPr>
        <w:rFonts w:hint="default"/>
      </w:rPr>
    </w:lvl>
  </w:abstractNum>
  <w:abstractNum w:abstractNumId="0">
    <w:multiLevelType w:val="hybridMultilevel"/>
    <w:lvl w:ilvl="0">
      <w:start w:val="1"/>
      <w:numFmt w:val="lowerLetter"/>
      <w:lvlText w:val="%1)"/>
      <w:lvlJc w:val="left"/>
      <w:pPr>
        <w:ind w:left="102" w:hanging="221"/>
        <w:jc w:val="left"/>
      </w:pPr>
      <w:rPr>
        <w:rFonts w:hint="default" w:ascii="Times New Roman" w:hAnsi="Times New Roman" w:eastAsia="Times New Roman" w:cs="Times New Roman"/>
        <w:spacing w:val="-2"/>
        <w:w w:val="99"/>
        <w:sz w:val="20"/>
        <w:szCs w:val="20"/>
      </w:rPr>
    </w:lvl>
    <w:lvl w:ilvl="1">
      <w:start w:val="0"/>
      <w:numFmt w:val="bullet"/>
      <w:lvlText w:val="•"/>
      <w:lvlJc w:val="left"/>
      <w:pPr>
        <w:ind w:left="1200" w:hanging="221"/>
      </w:pPr>
      <w:rPr>
        <w:rFonts w:hint="default"/>
      </w:rPr>
    </w:lvl>
    <w:lvl w:ilvl="2">
      <w:start w:val="0"/>
      <w:numFmt w:val="bullet"/>
      <w:lvlText w:val="•"/>
      <w:lvlJc w:val="left"/>
      <w:pPr>
        <w:ind w:left="2300" w:hanging="221"/>
      </w:pPr>
      <w:rPr>
        <w:rFonts w:hint="default"/>
      </w:rPr>
    </w:lvl>
    <w:lvl w:ilvl="3">
      <w:start w:val="0"/>
      <w:numFmt w:val="bullet"/>
      <w:lvlText w:val="•"/>
      <w:lvlJc w:val="left"/>
      <w:pPr>
        <w:ind w:left="3400" w:hanging="221"/>
      </w:pPr>
      <w:rPr>
        <w:rFonts w:hint="default"/>
      </w:rPr>
    </w:lvl>
    <w:lvl w:ilvl="4">
      <w:start w:val="0"/>
      <w:numFmt w:val="bullet"/>
      <w:lvlText w:val="•"/>
      <w:lvlJc w:val="left"/>
      <w:pPr>
        <w:ind w:left="4500" w:hanging="221"/>
      </w:pPr>
      <w:rPr>
        <w:rFonts w:hint="default"/>
      </w:rPr>
    </w:lvl>
    <w:lvl w:ilvl="5">
      <w:start w:val="0"/>
      <w:numFmt w:val="bullet"/>
      <w:lvlText w:val="•"/>
      <w:lvlJc w:val="left"/>
      <w:pPr>
        <w:ind w:left="5600" w:hanging="221"/>
      </w:pPr>
      <w:rPr>
        <w:rFonts w:hint="default"/>
      </w:rPr>
    </w:lvl>
    <w:lvl w:ilvl="6">
      <w:start w:val="0"/>
      <w:numFmt w:val="bullet"/>
      <w:lvlText w:val="•"/>
      <w:lvlJc w:val="left"/>
      <w:pPr>
        <w:ind w:left="6700" w:hanging="221"/>
      </w:pPr>
      <w:rPr>
        <w:rFonts w:hint="default"/>
      </w:rPr>
    </w:lvl>
    <w:lvl w:ilvl="7">
      <w:start w:val="0"/>
      <w:numFmt w:val="bullet"/>
      <w:lvlText w:val="•"/>
      <w:lvlJc w:val="left"/>
      <w:pPr>
        <w:ind w:left="7800" w:hanging="221"/>
      </w:pPr>
      <w:rPr>
        <w:rFonts w:hint="default"/>
      </w:rPr>
    </w:lvl>
    <w:lvl w:ilvl="8">
      <w:start w:val="0"/>
      <w:numFmt w:val="bullet"/>
      <w:lvlText w:val="•"/>
      <w:lvlJc w:val="left"/>
      <w:pPr>
        <w:ind w:left="8900" w:hanging="221"/>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02" w:hanging="4384"/>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504"/>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02" w:firstLine="708"/>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ede.ayuntamientodetias.es/validacion"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maguerra</dc:creator>
  <dc:title>informe presupuesto 2024</dc:title>
  <dcterms:created xsi:type="dcterms:W3CDTF">2025-02-06T13:11:04Z</dcterms:created>
  <dcterms:modified xsi:type="dcterms:W3CDTF">2025-02-06T13:11:04Z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PDFCreator Free 5.0.2</vt:lpwstr>
  </property>
  <property fmtid="{D5CDD505-2E9C-101B-9397-08002B2CF9AE}" pid="4" name="LastSaved">
    <vt:filetime>2025-02-06T00:00:00Z</vt:filetime>
  </property>
</Properties>
</file>