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6"/>
        </w:rPr>
      </w:pPr>
      <w:r>
        <w:rPr/>
        <w:pict>
          <v:line style="position:absolute;mso-position-horizontal-relative:page;mso-position-vertical-relative:page;z-index:251658240"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15711470352041161320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tabs>
          <w:tab w:pos="3075" w:val="left" w:leader="none"/>
        </w:tabs>
        <w:spacing w:before="123"/>
        <w:ind w:left="747" w:right="0" w:firstLine="0"/>
        <w:jc w:val="left"/>
        <w:rPr>
          <w:rFonts w:ascii="Calibri" w:hAnsi="Calibri"/>
          <w:b/>
          <w:sz w:val="22"/>
        </w:rPr>
      </w:pPr>
      <w:r>
        <w:rPr>
          <w:rFonts w:ascii="Calibri" w:hAnsi="Calibri"/>
          <w:spacing w:val="-3"/>
          <w:position w:val="-9"/>
          <w:sz w:val="20"/>
        </w:rPr>
        <w:t>Fax</w:t>
      </w:r>
      <w:r>
        <w:rPr>
          <w:rFonts w:ascii="Calibri" w:hAnsi="Calibri"/>
          <w:spacing w:val="-2"/>
          <w:position w:val="-9"/>
          <w:sz w:val="20"/>
        </w:rPr>
        <w:t> </w:t>
      </w:r>
      <w:r>
        <w:rPr>
          <w:rFonts w:ascii="Calibri" w:hAnsi="Calibri"/>
          <w:position w:val="-9"/>
          <w:sz w:val="20"/>
        </w:rPr>
        <w:t>928833549</w:t>
      </w:r>
      <w:r>
        <w:rPr>
          <w:position w:val="-9"/>
          <w:sz w:val="20"/>
        </w:rPr>
        <w:tab/>
      </w:r>
      <w:r>
        <w:rPr>
          <w:rFonts w:ascii="Calibri" w:hAnsi="Calibri"/>
          <w:b/>
          <w:sz w:val="22"/>
          <w:u w:val="single"/>
        </w:rPr>
        <w:t>INFORME</w:t>
      </w:r>
      <w:r>
        <w:rPr>
          <w:rFonts w:ascii="Calibri" w:hAnsi="Calibri"/>
          <w:b/>
          <w:spacing w:val="-2"/>
          <w:sz w:val="22"/>
          <w:u w:val="single"/>
        </w:rPr>
        <w:t> </w:t>
      </w:r>
      <w:r>
        <w:rPr>
          <w:rFonts w:ascii="Calibri" w:hAnsi="Calibri"/>
          <w:b/>
          <w:sz w:val="22"/>
          <w:u w:val="single"/>
        </w:rPr>
        <w:t>ECONÓMICO-FINANCIERO.</w:t>
      </w:r>
    </w:p>
    <w:p>
      <w:pPr>
        <w:pStyle w:val="BodyText"/>
        <w:rPr>
          <w:rFonts w:ascii="Calibri"/>
          <w:b/>
        </w:rPr>
      </w:pPr>
    </w:p>
    <w:p>
      <w:pPr>
        <w:pStyle w:val="BodyText"/>
        <w:rPr>
          <w:rFonts w:ascii="Calibri"/>
          <w:b/>
          <w:sz w:val="28"/>
        </w:rPr>
      </w:pPr>
    </w:p>
    <w:p>
      <w:pPr>
        <w:pStyle w:val="BodyText"/>
        <w:spacing w:line="290" w:lineRule="auto" w:before="91"/>
        <w:ind w:left="102" w:right="1695" w:firstLine="708"/>
        <w:jc w:val="both"/>
      </w:pPr>
      <w:r>
        <w:rPr/>
        <w:t>Según lo previsto en el artículo 168.1 del Real Decreto Legislativo 2/2004, de 5 de marzo, por el que se aprueba el </w:t>
      </w:r>
      <w:r>
        <w:rPr>
          <w:spacing w:val="-3"/>
        </w:rPr>
        <w:t>Texto </w:t>
      </w:r>
      <w:r>
        <w:rPr/>
        <w:t>Refundido de la Ley Reguladora de las Haciendas Locales, deberá unirse al Presupuesto un informe económico – financiero, en el que se expongan las bases utilizadas para la evaluación de los ingresos y la suficiencia de los créditos para atender al cumplimiento de las obligaciones exigibles y los gastos de funcionamiento de los servicios </w:t>
      </w:r>
      <w:r>
        <w:rPr>
          <w:spacing w:val="-7"/>
        </w:rPr>
        <w:t>y, </w:t>
      </w:r>
      <w:r>
        <w:rPr/>
        <w:t>en consecuencia, la efectiva nivelación del</w:t>
      </w:r>
      <w:r>
        <w:rPr>
          <w:spacing w:val="-7"/>
        </w:rPr>
        <w:t> </w:t>
      </w:r>
      <w:r>
        <w:rPr/>
        <w:t>Presupuesto.</w:t>
      </w:r>
    </w:p>
    <w:p>
      <w:pPr>
        <w:pStyle w:val="BodyText"/>
        <w:rPr>
          <w:sz w:val="22"/>
        </w:rPr>
      </w:pPr>
    </w:p>
    <w:p>
      <w:pPr>
        <w:pStyle w:val="BodyText"/>
        <w:spacing w:before="8"/>
        <w:rPr>
          <w:sz w:val="22"/>
        </w:rPr>
      </w:pPr>
    </w:p>
    <w:p>
      <w:pPr>
        <w:pStyle w:val="Heading2"/>
        <w:spacing w:before="1"/>
        <w:ind w:left="150"/>
        <w:rPr>
          <w:u w:val="none"/>
        </w:rPr>
      </w:pPr>
      <w:r>
        <w:rPr>
          <w:u w:val="none"/>
        </w:rPr>
        <w:t>En base a lo cual INFORMO:</w:t>
      </w:r>
    </w:p>
    <w:p>
      <w:pPr>
        <w:pStyle w:val="BodyText"/>
        <w:rPr>
          <w:b/>
          <w:sz w:val="22"/>
        </w:rPr>
      </w:pPr>
    </w:p>
    <w:p>
      <w:pPr>
        <w:pStyle w:val="BodyText"/>
        <w:rPr>
          <w:b/>
          <w:sz w:val="22"/>
        </w:rPr>
      </w:pPr>
    </w:p>
    <w:p>
      <w:pPr>
        <w:pStyle w:val="ListParagraph"/>
        <w:numPr>
          <w:ilvl w:val="0"/>
          <w:numId w:val="1"/>
        </w:numPr>
        <w:tabs>
          <w:tab w:pos="642" w:val="left" w:leader="none"/>
          <w:tab w:pos="643" w:val="left" w:leader="none"/>
        </w:tabs>
        <w:spacing w:line="240" w:lineRule="auto" w:before="188" w:after="0"/>
        <w:ind w:left="642" w:right="0" w:hanging="361"/>
        <w:jc w:val="left"/>
        <w:rPr>
          <w:b/>
          <w:sz w:val="20"/>
        </w:rPr>
      </w:pPr>
      <w:r>
        <w:rPr>
          <w:b/>
          <w:sz w:val="20"/>
          <w:u w:val="single"/>
        </w:rPr>
        <w:t>Bases utilizadas para la evaluación de los ingresos consignados en el</w:t>
      </w:r>
      <w:r>
        <w:rPr>
          <w:b/>
          <w:spacing w:val="-3"/>
          <w:sz w:val="20"/>
          <w:u w:val="single"/>
        </w:rPr>
        <w:t> </w:t>
      </w:r>
      <w:r>
        <w:rPr>
          <w:b/>
          <w:sz w:val="20"/>
          <w:u w:val="single"/>
        </w:rPr>
        <w:t>Presupuesto.</w:t>
      </w:r>
    </w:p>
    <w:p>
      <w:pPr>
        <w:pStyle w:val="BodyText"/>
        <w:rPr>
          <w:b/>
        </w:rPr>
      </w:pPr>
    </w:p>
    <w:p>
      <w:pPr>
        <w:pStyle w:val="BodyText"/>
        <w:spacing w:before="1"/>
        <w:rPr>
          <w:b/>
        </w:rPr>
      </w:pPr>
    </w:p>
    <w:p>
      <w:pPr>
        <w:pStyle w:val="BodyText"/>
        <w:spacing w:line="360" w:lineRule="auto"/>
        <w:ind w:left="102" w:right="1691"/>
        <w:jc w:val="both"/>
      </w:pPr>
      <w:r>
        <w:rPr/>
        <w:t>Para la consignación de las diferentes partidas de ingresos se han solicitado informes a la unidad de gestión de ingresos, realizado una estimación de aquellos ingresos relacionados con su área de actividad. En relación con las diferentes partidas de Ingresos podemos señalar lo siguiente:</w:t>
      </w:r>
    </w:p>
    <w:p>
      <w:pPr>
        <w:pStyle w:val="BodyText"/>
        <w:spacing w:before="5"/>
        <w:rPr>
          <w:sz w:val="30"/>
        </w:rPr>
      </w:pPr>
    </w:p>
    <w:p>
      <w:pPr>
        <w:pStyle w:val="ListParagraph"/>
        <w:numPr>
          <w:ilvl w:val="1"/>
          <w:numId w:val="1"/>
        </w:numPr>
        <w:tabs>
          <w:tab w:pos="1099" w:val="left" w:leader="none"/>
        </w:tabs>
        <w:spacing w:line="360" w:lineRule="auto" w:before="0" w:after="0"/>
        <w:ind w:left="102" w:right="1694" w:firstLine="707"/>
        <w:jc w:val="both"/>
        <w:rPr>
          <w:sz w:val="20"/>
        </w:rPr>
      </w:pPr>
      <w:r>
        <w:rPr>
          <w:sz w:val="20"/>
        </w:rPr>
        <w:t>Las </w:t>
      </w:r>
      <w:r>
        <w:rPr>
          <w:spacing w:val="-4"/>
          <w:sz w:val="20"/>
        </w:rPr>
        <w:t>previsiones </w:t>
      </w:r>
      <w:r>
        <w:rPr>
          <w:sz w:val="20"/>
        </w:rPr>
        <w:t>de </w:t>
      </w:r>
      <w:r>
        <w:rPr>
          <w:spacing w:val="-3"/>
          <w:sz w:val="20"/>
        </w:rPr>
        <w:t>ingresos </w:t>
      </w:r>
      <w:r>
        <w:rPr>
          <w:sz w:val="20"/>
        </w:rPr>
        <w:t>de los </w:t>
      </w:r>
      <w:r>
        <w:rPr>
          <w:spacing w:val="-3"/>
          <w:sz w:val="20"/>
        </w:rPr>
        <w:t>Impuestos sobre Bienes Inmuebles, sobre </w:t>
      </w:r>
      <w:r>
        <w:rPr>
          <w:spacing w:val="-6"/>
          <w:sz w:val="20"/>
        </w:rPr>
        <w:t>Vehículos </w:t>
      </w:r>
      <w:r>
        <w:rPr>
          <w:sz w:val="20"/>
        </w:rPr>
        <w:t>de </w:t>
      </w:r>
      <w:r>
        <w:rPr>
          <w:spacing w:val="-4"/>
          <w:sz w:val="20"/>
        </w:rPr>
        <w:t>Tracción </w:t>
      </w:r>
      <w:r>
        <w:rPr>
          <w:spacing w:val="-3"/>
          <w:sz w:val="20"/>
        </w:rPr>
        <w:t>Mecánica </w:t>
      </w:r>
      <w:r>
        <w:rPr>
          <w:sz w:val="20"/>
        </w:rPr>
        <w:t>y </w:t>
      </w:r>
      <w:r>
        <w:rPr>
          <w:spacing w:val="-3"/>
          <w:sz w:val="20"/>
        </w:rPr>
        <w:t>sobre Actividades Económicas, </w:t>
      </w:r>
      <w:r>
        <w:rPr>
          <w:spacing w:val="-2"/>
          <w:sz w:val="20"/>
        </w:rPr>
        <w:t>así </w:t>
      </w:r>
      <w:r>
        <w:rPr>
          <w:spacing w:val="-3"/>
          <w:sz w:val="20"/>
        </w:rPr>
        <w:t>como </w:t>
      </w:r>
      <w:r>
        <w:rPr>
          <w:sz w:val="20"/>
        </w:rPr>
        <w:t>de las </w:t>
      </w:r>
      <w:r>
        <w:rPr>
          <w:spacing w:val="-6"/>
          <w:sz w:val="20"/>
        </w:rPr>
        <w:t>Tasas </w:t>
      </w:r>
      <w:r>
        <w:rPr>
          <w:sz w:val="20"/>
        </w:rPr>
        <w:t>de </w:t>
      </w:r>
      <w:r>
        <w:rPr>
          <w:spacing w:val="-3"/>
          <w:sz w:val="20"/>
        </w:rPr>
        <w:t>Basura, figuran </w:t>
      </w:r>
      <w:r>
        <w:rPr>
          <w:sz w:val="20"/>
        </w:rPr>
        <w:t>en </w:t>
      </w:r>
      <w:r>
        <w:rPr>
          <w:spacing w:val="-3"/>
          <w:sz w:val="20"/>
        </w:rPr>
        <w:t>el Presupuesto </w:t>
      </w:r>
      <w:r>
        <w:rPr>
          <w:sz w:val="20"/>
        </w:rPr>
        <w:t>en </w:t>
      </w:r>
      <w:r>
        <w:rPr>
          <w:spacing w:val="-3"/>
          <w:sz w:val="20"/>
        </w:rPr>
        <w:t>función </w:t>
      </w:r>
      <w:r>
        <w:rPr>
          <w:spacing w:val="-2"/>
          <w:sz w:val="20"/>
        </w:rPr>
        <w:t>del </w:t>
      </w:r>
      <w:r>
        <w:rPr>
          <w:spacing w:val="-3"/>
          <w:sz w:val="20"/>
        </w:rPr>
        <w:t>importe que alcanzaron en recaudación </w:t>
      </w:r>
      <w:r>
        <w:rPr>
          <w:sz w:val="20"/>
        </w:rPr>
        <w:t>en el </w:t>
      </w:r>
      <w:r>
        <w:rPr>
          <w:spacing w:val="-2"/>
          <w:sz w:val="20"/>
        </w:rPr>
        <w:t>año </w:t>
      </w:r>
      <w:r>
        <w:rPr>
          <w:spacing w:val="-3"/>
          <w:sz w:val="20"/>
        </w:rPr>
        <w:t>2024 </w:t>
      </w:r>
      <w:r>
        <w:rPr>
          <w:sz w:val="20"/>
        </w:rPr>
        <w:t>y </w:t>
      </w:r>
      <w:r>
        <w:rPr>
          <w:spacing w:val="-3"/>
          <w:sz w:val="20"/>
        </w:rPr>
        <w:t>puesto en estimación </w:t>
      </w:r>
      <w:r>
        <w:rPr>
          <w:sz w:val="20"/>
        </w:rPr>
        <w:t>de </w:t>
      </w:r>
      <w:r>
        <w:rPr>
          <w:spacing w:val="-3"/>
          <w:sz w:val="20"/>
        </w:rPr>
        <w:t>las variaciones </w:t>
      </w:r>
      <w:r>
        <w:rPr>
          <w:spacing w:val="-4"/>
          <w:sz w:val="20"/>
        </w:rPr>
        <w:t>posibles </w:t>
      </w:r>
      <w:r>
        <w:rPr>
          <w:spacing w:val="-3"/>
          <w:sz w:val="20"/>
        </w:rPr>
        <w:t>para este </w:t>
      </w:r>
      <w:r>
        <w:rPr>
          <w:sz w:val="20"/>
        </w:rPr>
        <w:t>año </w:t>
      </w:r>
      <w:r>
        <w:rPr>
          <w:spacing w:val="-3"/>
          <w:sz w:val="20"/>
        </w:rPr>
        <w:t>2025,</w:t>
      </w:r>
      <w:r>
        <w:rPr>
          <w:spacing w:val="-8"/>
          <w:sz w:val="20"/>
        </w:rPr>
        <w:t> </w:t>
      </w:r>
      <w:r>
        <w:rPr>
          <w:spacing w:val="-3"/>
          <w:sz w:val="20"/>
        </w:rPr>
        <w:t>todo</w:t>
      </w:r>
      <w:r>
        <w:rPr>
          <w:spacing w:val="-6"/>
          <w:sz w:val="20"/>
        </w:rPr>
        <w:t> </w:t>
      </w:r>
      <w:r>
        <w:rPr>
          <w:spacing w:val="-3"/>
          <w:sz w:val="20"/>
        </w:rPr>
        <w:t>ello</w:t>
      </w:r>
      <w:r>
        <w:rPr>
          <w:spacing w:val="-6"/>
          <w:sz w:val="20"/>
        </w:rPr>
        <w:t> </w:t>
      </w:r>
      <w:r>
        <w:rPr>
          <w:sz w:val="20"/>
        </w:rPr>
        <w:t>de</w:t>
      </w:r>
      <w:r>
        <w:rPr>
          <w:spacing w:val="-7"/>
          <w:sz w:val="20"/>
        </w:rPr>
        <w:t> </w:t>
      </w:r>
      <w:r>
        <w:rPr>
          <w:spacing w:val="-3"/>
          <w:sz w:val="20"/>
        </w:rPr>
        <w:t>acuerdo</w:t>
      </w:r>
      <w:r>
        <w:rPr>
          <w:spacing w:val="-6"/>
          <w:sz w:val="20"/>
        </w:rPr>
        <w:t> </w:t>
      </w:r>
      <w:r>
        <w:rPr>
          <w:spacing w:val="-2"/>
          <w:sz w:val="20"/>
        </w:rPr>
        <w:t>con</w:t>
      </w:r>
      <w:r>
        <w:rPr>
          <w:spacing w:val="-6"/>
          <w:sz w:val="20"/>
        </w:rPr>
        <w:t> </w:t>
      </w:r>
      <w:r>
        <w:rPr>
          <w:sz w:val="20"/>
        </w:rPr>
        <w:t>el</w:t>
      </w:r>
      <w:r>
        <w:rPr>
          <w:spacing w:val="-5"/>
          <w:sz w:val="20"/>
        </w:rPr>
        <w:t> </w:t>
      </w:r>
      <w:r>
        <w:rPr>
          <w:spacing w:val="-3"/>
          <w:sz w:val="20"/>
        </w:rPr>
        <w:t>departamento</w:t>
      </w:r>
      <w:r>
        <w:rPr>
          <w:spacing w:val="-6"/>
          <w:sz w:val="20"/>
        </w:rPr>
        <w:t> </w:t>
      </w:r>
      <w:r>
        <w:rPr>
          <w:sz w:val="20"/>
        </w:rPr>
        <w:t>de</w:t>
      </w:r>
      <w:r>
        <w:rPr>
          <w:spacing w:val="-7"/>
          <w:sz w:val="20"/>
        </w:rPr>
        <w:t> </w:t>
      </w:r>
      <w:r>
        <w:rPr>
          <w:spacing w:val="-3"/>
          <w:sz w:val="20"/>
        </w:rPr>
        <w:t>recaudación</w:t>
      </w:r>
    </w:p>
    <w:p>
      <w:pPr>
        <w:pStyle w:val="ListParagraph"/>
        <w:numPr>
          <w:ilvl w:val="1"/>
          <w:numId w:val="1"/>
        </w:numPr>
        <w:tabs>
          <w:tab w:pos="1077" w:val="left" w:leader="none"/>
        </w:tabs>
        <w:spacing w:line="362" w:lineRule="auto" w:before="2" w:after="0"/>
        <w:ind w:left="102" w:right="1691" w:firstLine="708"/>
        <w:jc w:val="both"/>
        <w:rPr>
          <w:sz w:val="20"/>
        </w:rPr>
      </w:pPr>
      <w:r>
        <w:rPr>
          <w:sz w:val="20"/>
        </w:rPr>
        <w:t>La </w:t>
      </w:r>
      <w:r>
        <w:rPr>
          <w:spacing w:val="-3"/>
          <w:sz w:val="20"/>
        </w:rPr>
        <w:t>consignación </w:t>
      </w:r>
      <w:r>
        <w:rPr>
          <w:sz w:val="20"/>
        </w:rPr>
        <w:t>de las </w:t>
      </w:r>
      <w:r>
        <w:rPr>
          <w:spacing w:val="-3"/>
          <w:sz w:val="20"/>
        </w:rPr>
        <w:t>previsiones </w:t>
      </w:r>
      <w:r>
        <w:rPr>
          <w:sz w:val="20"/>
        </w:rPr>
        <w:t>de </w:t>
      </w:r>
      <w:r>
        <w:rPr>
          <w:spacing w:val="-3"/>
          <w:sz w:val="20"/>
        </w:rPr>
        <w:t>ingresos por </w:t>
      </w:r>
      <w:r>
        <w:rPr>
          <w:sz w:val="20"/>
        </w:rPr>
        <w:t>el </w:t>
      </w:r>
      <w:r>
        <w:rPr>
          <w:spacing w:val="-3"/>
          <w:sz w:val="20"/>
        </w:rPr>
        <w:t>Impuesto sobre </w:t>
      </w:r>
      <w:r>
        <w:rPr>
          <w:sz w:val="20"/>
        </w:rPr>
        <w:t>el </w:t>
      </w:r>
      <w:r>
        <w:rPr>
          <w:spacing w:val="-3"/>
          <w:sz w:val="20"/>
        </w:rPr>
        <w:t>Incremento del </w:t>
      </w:r>
      <w:r>
        <w:rPr>
          <w:spacing w:val="-7"/>
          <w:sz w:val="20"/>
        </w:rPr>
        <w:t>Valor </w:t>
      </w:r>
      <w:r>
        <w:rPr>
          <w:sz w:val="20"/>
        </w:rPr>
        <w:t>de </w:t>
      </w:r>
      <w:r>
        <w:rPr>
          <w:spacing w:val="-3"/>
          <w:sz w:val="20"/>
        </w:rPr>
        <w:t>los </w:t>
      </w:r>
      <w:r>
        <w:rPr>
          <w:spacing w:val="-5"/>
          <w:sz w:val="20"/>
        </w:rPr>
        <w:t>Terrenos </w:t>
      </w:r>
      <w:r>
        <w:rPr>
          <w:spacing w:val="-3"/>
          <w:sz w:val="20"/>
        </w:rPr>
        <w:t>Urbanos, Impuesto sobre Construcciones, Instalaciones </w:t>
      </w:r>
      <w:r>
        <w:rPr>
          <w:sz w:val="20"/>
        </w:rPr>
        <w:t>y </w:t>
      </w:r>
      <w:r>
        <w:rPr>
          <w:spacing w:val="-3"/>
          <w:sz w:val="20"/>
        </w:rPr>
        <w:t>Obras, </w:t>
      </w:r>
      <w:r>
        <w:rPr>
          <w:sz w:val="20"/>
        </w:rPr>
        <w:t>de </w:t>
      </w:r>
      <w:r>
        <w:rPr>
          <w:spacing w:val="-5"/>
          <w:sz w:val="20"/>
        </w:rPr>
        <w:t>Tasas </w:t>
      </w:r>
      <w:r>
        <w:rPr>
          <w:spacing w:val="-2"/>
          <w:sz w:val="20"/>
        </w:rPr>
        <w:t>por </w:t>
      </w:r>
      <w:r>
        <w:rPr>
          <w:spacing w:val="-3"/>
          <w:sz w:val="20"/>
        </w:rPr>
        <w:t>licencias urbanísticas, </w:t>
      </w:r>
      <w:r>
        <w:rPr>
          <w:spacing w:val="-2"/>
          <w:sz w:val="20"/>
        </w:rPr>
        <w:t>así </w:t>
      </w:r>
      <w:r>
        <w:rPr>
          <w:spacing w:val="-3"/>
          <w:sz w:val="20"/>
        </w:rPr>
        <w:t>como </w:t>
      </w:r>
      <w:r>
        <w:rPr>
          <w:sz w:val="20"/>
        </w:rPr>
        <w:t>de </w:t>
      </w:r>
      <w:r>
        <w:rPr>
          <w:spacing w:val="-3"/>
          <w:sz w:val="20"/>
        </w:rPr>
        <w:t>multas </w:t>
      </w:r>
      <w:r>
        <w:rPr>
          <w:sz w:val="20"/>
        </w:rPr>
        <w:t>se </w:t>
      </w:r>
      <w:r>
        <w:rPr>
          <w:spacing w:val="-2"/>
          <w:sz w:val="20"/>
        </w:rPr>
        <w:t>han </w:t>
      </w:r>
      <w:r>
        <w:rPr>
          <w:spacing w:val="-3"/>
          <w:sz w:val="20"/>
        </w:rPr>
        <w:t>fijado según los derechos reconocidos durante el ejercicio anterior igualmente </w:t>
      </w:r>
      <w:r>
        <w:rPr>
          <w:sz w:val="20"/>
        </w:rPr>
        <w:t>y </w:t>
      </w:r>
      <w:r>
        <w:rPr>
          <w:spacing w:val="-3"/>
          <w:sz w:val="20"/>
        </w:rPr>
        <w:t>previsiones </w:t>
      </w:r>
      <w:r>
        <w:rPr>
          <w:sz w:val="20"/>
        </w:rPr>
        <w:t>de </w:t>
      </w:r>
      <w:r>
        <w:rPr>
          <w:spacing w:val="-3"/>
          <w:sz w:val="20"/>
        </w:rPr>
        <w:t>recaudación </w:t>
      </w:r>
      <w:r>
        <w:rPr>
          <w:sz w:val="20"/>
        </w:rPr>
        <w:t>en lo </w:t>
      </w:r>
      <w:r>
        <w:rPr>
          <w:spacing w:val="-3"/>
          <w:sz w:val="20"/>
        </w:rPr>
        <w:t>que </w:t>
      </w:r>
      <w:r>
        <w:rPr>
          <w:sz w:val="20"/>
        </w:rPr>
        <w:t>se </w:t>
      </w:r>
      <w:r>
        <w:rPr>
          <w:spacing w:val="-3"/>
          <w:sz w:val="20"/>
        </w:rPr>
        <w:t>refiere </w:t>
      </w:r>
      <w:r>
        <w:rPr>
          <w:sz w:val="20"/>
        </w:rPr>
        <w:t>al </w:t>
      </w:r>
      <w:r>
        <w:rPr>
          <w:spacing w:val="-3"/>
          <w:sz w:val="20"/>
        </w:rPr>
        <w:t>ICIO </w:t>
      </w:r>
      <w:r>
        <w:rPr>
          <w:sz w:val="20"/>
        </w:rPr>
        <w:t>como </w:t>
      </w:r>
      <w:r>
        <w:rPr>
          <w:spacing w:val="-3"/>
          <w:sz w:val="20"/>
        </w:rPr>
        <w:t>tributo por el que </w:t>
      </w:r>
      <w:r>
        <w:rPr>
          <w:sz w:val="20"/>
        </w:rPr>
        <w:t>se </w:t>
      </w:r>
      <w:r>
        <w:rPr>
          <w:spacing w:val="-3"/>
          <w:sz w:val="20"/>
        </w:rPr>
        <w:t>recaudó </w:t>
      </w:r>
      <w:r>
        <w:rPr>
          <w:sz w:val="20"/>
        </w:rPr>
        <w:t>en </w:t>
      </w:r>
      <w:r>
        <w:rPr>
          <w:spacing w:val="-3"/>
          <w:sz w:val="20"/>
        </w:rPr>
        <w:t>2024 </w:t>
      </w:r>
      <w:r>
        <w:rPr>
          <w:spacing w:val="-2"/>
          <w:sz w:val="20"/>
        </w:rPr>
        <w:t>más </w:t>
      </w:r>
      <w:r>
        <w:rPr>
          <w:sz w:val="20"/>
        </w:rPr>
        <w:t>de </w:t>
      </w:r>
      <w:r>
        <w:rPr>
          <w:spacing w:val="-3"/>
          <w:sz w:val="20"/>
        </w:rPr>
        <w:t>700.000 euros. </w:t>
      </w:r>
      <w:r>
        <w:rPr>
          <w:sz w:val="20"/>
        </w:rPr>
        <w:t>La </w:t>
      </w:r>
      <w:r>
        <w:rPr>
          <w:spacing w:val="-3"/>
          <w:sz w:val="20"/>
        </w:rPr>
        <w:t>tasa </w:t>
      </w:r>
      <w:r>
        <w:rPr>
          <w:spacing w:val="-2"/>
          <w:sz w:val="20"/>
        </w:rPr>
        <w:t>por </w:t>
      </w:r>
      <w:r>
        <w:rPr>
          <w:spacing w:val="-3"/>
          <w:sz w:val="20"/>
        </w:rPr>
        <w:t>licencia urbanística </w:t>
      </w:r>
      <w:r>
        <w:rPr>
          <w:spacing w:val="-2"/>
          <w:sz w:val="20"/>
        </w:rPr>
        <w:t>hay que </w:t>
      </w:r>
      <w:r>
        <w:rPr>
          <w:spacing w:val="-3"/>
          <w:sz w:val="20"/>
        </w:rPr>
        <w:t>indicar </w:t>
      </w:r>
      <w:r>
        <w:rPr>
          <w:spacing w:val="-2"/>
          <w:sz w:val="20"/>
        </w:rPr>
        <w:t>que </w:t>
      </w:r>
      <w:r>
        <w:rPr>
          <w:spacing w:val="-3"/>
          <w:sz w:val="20"/>
        </w:rPr>
        <w:t>desaparece </w:t>
      </w:r>
      <w:r>
        <w:rPr>
          <w:sz w:val="20"/>
        </w:rPr>
        <w:t>como </w:t>
      </w:r>
      <w:r>
        <w:rPr>
          <w:spacing w:val="-3"/>
          <w:sz w:val="20"/>
        </w:rPr>
        <w:t>concepto </w:t>
      </w:r>
      <w:r>
        <w:rPr>
          <w:sz w:val="20"/>
        </w:rPr>
        <w:t>de </w:t>
      </w:r>
      <w:r>
        <w:rPr>
          <w:spacing w:val="-3"/>
          <w:sz w:val="20"/>
        </w:rPr>
        <w:t>ingreso </w:t>
      </w:r>
      <w:r>
        <w:rPr>
          <w:spacing w:val="-2"/>
          <w:sz w:val="20"/>
        </w:rPr>
        <w:t>por </w:t>
      </w:r>
      <w:r>
        <w:rPr>
          <w:spacing w:val="-3"/>
          <w:sz w:val="20"/>
        </w:rPr>
        <w:t>cuanto </w:t>
      </w:r>
      <w:r>
        <w:rPr>
          <w:sz w:val="20"/>
        </w:rPr>
        <w:t>de </w:t>
      </w:r>
      <w:r>
        <w:rPr>
          <w:spacing w:val="-3"/>
          <w:sz w:val="20"/>
        </w:rPr>
        <w:t>acuerdo con </w:t>
      </w:r>
      <w:r>
        <w:rPr>
          <w:sz w:val="20"/>
        </w:rPr>
        <w:t>la </w:t>
      </w:r>
      <w:r>
        <w:rPr>
          <w:spacing w:val="-3"/>
          <w:sz w:val="20"/>
        </w:rPr>
        <w:t>ordenanza fiscal reguladora </w:t>
      </w:r>
      <w:r>
        <w:rPr>
          <w:sz w:val="20"/>
        </w:rPr>
        <w:t>se </w:t>
      </w:r>
      <w:r>
        <w:rPr>
          <w:spacing w:val="-3"/>
          <w:sz w:val="20"/>
        </w:rPr>
        <w:t>trata </w:t>
      </w:r>
      <w:r>
        <w:rPr>
          <w:sz w:val="20"/>
        </w:rPr>
        <w:t>de un </w:t>
      </w:r>
      <w:r>
        <w:rPr>
          <w:spacing w:val="-3"/>
          <w:sz w:val="20"/>
        </w:rPr>
        <w:t>supuesto </w:t>
      </w:r>
      <w:r>
        <w:rPr>
          <w:sz w:val="20"/>
        </w:rPr>
        <w:t>de </w:t>
      </w:r>
      <w:r>
        <w:rPr>
          <w:spacing w:val="-3"/>
          <w:sz w:val="20"/>
        </w:rPr>
        <w:t>tasa </w:t>
      </w:r>
      <w:r>
        <w:rPr>
          <w:spacing w:val="-2"/>
          <w:sz w:val="20"/>
        </w:rPr>
        <w:t>por </w:t>
      </w:r>
      <w:r>
        <w:rPr>
          <w:spacing w:val="-3"/>
          <w:sz w:val="20"/>
        </w:rPr>
        <w:t>expedición </w:t>
      </w:r>
      <w:r>
        <w:rPr>
          <w:sz w:val="20"/>
        </w:rPr>
        <w:t>de </w:t>
      </w:r>
      <w:r>
        <w:rPr>
          <w:spacing w:val="-3"/>
          <w:sz w:val="20"/>
        </w:rPr>
        <w:t>documentos integrándose dicho importe </w:t>
      </w:r>
      <w:r>
        <w:rPr>
          <w:sz w:val="20"/>
        </w:rPr>
        <w:t>en </w:t>
      </w:r>
      <w:r>
        <w:rPr>
          <w:spacing w:val="-3"/>
          <w:sz w:val="20"/>
        </w:rPr>
        <w:t>tal concepto</w:t>
      </w:r>
      <w:r>
        <w:rPr>
          <w:spacing w:val="-6"/>
          <w:sz w:val="20"/>
        </w:rPr>
        <w:t> </w:t>
      </w:r>
      <w:r>
        <w:rPr>
          <w:sz w:val="20"/>
        </w:rPr>
        <w:t>el</w:t>
      </w:r>
      <w:r>
        <w:rPr>
          <w:spacing w:val="-6"/>
          <w:sz w:val="20"/>
        </w:rPr>
        <w:t> </w:t>
      </w:r>
      <w:r>
        <w:rPr>
          <w:sz w:val="20"/>
        </w:rPr>
        <w:t>cual</w:t>
      </w:r>
      <w:r>
        <w:rPr>
          <w:spacing w:val="-7"/>
          <w:sz w:val="20"/>
        </w:rPr>
        <w:t> </w:t>
      </w:r>
      <w:r>
        <w:rPr>
          <w:sz w:val="20"/>
        </w:rPr>
        <w:t>se</w:t>
      </w:r>
      <w:r>
        <w:rPr>
          <w:spacing w:val="-5"/>
          <w:sz w:val="20"/>
        </w:rPr>
        <w:t> </w:t>
      </w:r>
      <w:r>
        <w:rPr>
          <w:spacing w:val="-3"/>
          <w:sz w:val="20"/>
        </w:rPr>
        <w:t>presupuesta</w:t>
      </w:r>
      <w:r>
        <w:rPr>
          <w:spacing w:val="-6"/>
          <w:sz w:val="20"/>
        </w:rPr>
        <w:t> </w:t>
      </w:r>
      <w:r>
        <w:rPr>
          <w:spacing w:val="-3"/>
          <w:sz w:val="20"/>
        </w:rPr>
        <w:t>para 2025</w:t>
      </w:r>
      <w:r>
        <w:rPr>
          <w:spacing w:val="-6"/>
          <w:sz w:val="20"/>
        </w:rPr>
        <w:t> </w:t>
      </w:r>
      <w:r>
        <w:rPr>
          <w:spacing w:val="-3"/>
          <w:sz w:val="20"/>
        </w:rPr>
        <w:t>en</w:t>
      </w:r>
      <w:r>
        <w:rPr>
          <w:spacing w:val="-5"/>
          <w:sz w:val="20"/>
        </w:rPr>
        <w:t> </w:t>
      </w:r>
      <w:r>
        <w:rPr>
          <w:spacing w:val="-3"/>
          <w:sz w:val="20"/>
        </w:rPr>
        <w:t>150.000</w:t>
      </w:r>
      <w:r>
        <w:rPr>
          <w:spacing w:val="-6"/>
          <w:sz w:val="20"/>
        </w:rPr>
        <w:t> </w:t>
      </w:r>
      <w:r>
        <w:rPr>
          <w:spacing w:val="-3"/>
          <w:sz w:val="20"/>
        </w:rPr>
        <w:t>euros</w:t>
      </w:r>
      <w:r>
        <w:rPr>
          <w:spacing w:val="-7"/>
          <w:sz w:val="20"/>
        </w:rPr>
        <w:t> </w:t>
      </w:r>
      <w:r>
        <w:rPr>
          <w:sz w:val="20"/>
        </w:rPr>
        <w:t>de</w:t>
      </w:r>
      <w:r>
        <w:rPr>
          <w:spacing w:val="-6"/>
          <w:sz w:val="20"/>
        </w:rPr>
        <w:t> </w:t>
      </w:r>
      <w:r>
        <w:rPr>
          <w:spacing w:val="-3"/>
          <w:sz w:val="20"/>
        </w:rPr>
        <w:t>acuerdo</w:t>
      </w:r>
      <w:r>
        <w:rPr>
          <w:spacing w:val="-7"/>
          <w:sz w:val="20"/>
        </w:rPr>
        <w:t> </w:t>
      </w:r>
      <w:r>
        <w:rPr>
          <w:sz w:val="20"/>
        </w:rPr>
        <w:t>con</w:t>
      </w:r>
      <w:r>
        <w:rPr>
          <w:spacing w:val="-6"/>
          <w:sz w:val="20"/>
        </w:rPr>
        <w:t> </w:t>
      </w:r>
      <w:r>
        <w:rPr>
          <w:spacing w:val="-3"/>
          <w:sz w:val="20"/>
        </w:rPr>
        <w:t>lo</w:t>
      </w:r>
      <w:r>
        <w:rPr>
          <w:spacing w:val="-5"/>
          <w:sz w:val="20"/>
        </w:rPr>
        <w:t> </w:t>
      </w:r>
      <w:r>
        <w:rPr>
          <w:spacing w:val="-3"/>
          <w:sz w:val="20"/>
        </w:rPr>
        <w:t>recaudado</w:t>
      </w:r>
      <w:r>
        <w:rPr>
          <w:spacing w:val="-6"/>
          <w:sz w:val="20"/>
        </w:rPr>
        <w:t> </w:t>
      </w:r>
      <w:r>
        <w:rPr>
          <w:spacing w:val="-3"/>
          <w:sz w:val="20"/>
        </w:rPr>
        <w:t>durante</w:t>
      </w:r>
      <w:r>
        <w:rPr>
          <w:spacing w:val="-5"/>
          <w:sz w:val="20"/>
        </w:rPr>
        <w:t> </w:t>
      </w:r>
      <w:r>
        <w:rPr>
          <w:spacing w:val="-3"/>
          <w:sz w:val="20"/>
        </w:rPr>
        <w:t>2024.</w:t>
      </w:r>
      <w:r>
        <w:rPr>
          <w:spacing w:val="-6"/>
          <w:sz w:val="20"/>
        </w:rPr>
        <w:t> </w:t>
      </w:r>
      <w:r>
        <w:rPr>
          <w:sz w:val="20"/>
        </w:rPr>
        <w:t>En</w:t>
      </w:r>
      <w:r>
        <w:rPr>
          <w:spacing w:val="-7"/>
          <w:sz w:val="20"/>
        </w:rPr>
        <w:t> </w:t>
      </w:r>
      <w:r>
        <w:rPr>
          <w:sz w:val="20"/>
        </w:rPr>
        <w:t>lo</w:t>
      </w:r>
      <w:r>
        <w:rPr>
          <w:spacing w:val="-7"/>
          <w:sz w:val="20"/>
        </w:rPr>
        <w:t> </w:t>
      </w:r>
      <w:r>
        <w:rPr>
          <w:spacing w:val="-3"/>
          <w:sz w:val="20"/>
        </w:rPr>
        <w:t>relativo</w:t>
      </w:r>
      <w:r>
        <w:rPr>
          <w:spacing w:val="-8"/>
          <w:sz w:val="20"/>
        </w:rPr>
        <w:t> </w:t>
      </w:r>
      <w:r>
        <w:rPr>
          <w:sz w:val="20"/>
        </w:rPr>
        <w:t>al </w:t>
      </w:r>
      <w:r>
        <w:rPr>
          <w:spacing w:val="-3"/>
          <w:sz w:val="20"/>
        </w:rPr>
        <w:t>IIVTNU </w:t>
      </w:r>
      <w:r>
        <w:rPr>
          <w:sz w:val="20"/>
        </w:rPr>
        <w:t>cabe </w:t>
      </w:r>
      <w:r>
        <w:rPr>
          <w:spacing w:val="-3"/>
          <w:sz w:val="20"/>
        </w:rPr>
        <w:t>señalar </w:t>
      </w:r>
      <w:r>
        <w:rPr>
          <w:spacing w:val="-2"/>
          <w:sz w:val="20"/>
        </w:rPr>
        <w:t>que </w:t>
      </w:r>
      <w:r>
        <w:rPr>
          <w:sz w:val="20"/>
        </w:rPr>
        <w:t>en </w:t>
      </w:r>
      <w:r>
        <w:rPr>
          <w:spacing w:val="-3"/>
          <w:sz w:val="20"/>
        </w:rPr>
        <w:t>2024 </w:t>
      </w:r>
      <w:r>
        <w:rPr>
          <w:sz w:val="20"/>
        </w:rPr>
        <w:t>se </w:t>
      </w:r>
      <w:r>
        <w:rPr>
          <w:spacing w:val="-3"/>
          <w:sz w:val="20"/>
        </w:rPr>
        <w:t>ingresa </w:t>
      </w:r>
      <w:r>
        <w:rPr>
          <w:sz w:val="20"/>
        </w:rPr>
        <w:t>casi </w:t>
      </w:r>
      <w:r>
        <w:rPr>
          <w:spacing w:val="-2"/>
          <w:sz w:val="20"/>
        </w:rPr>
        <w:t>1,5 </w:t>
      </w:r>
      <w:r>
        <w:rPr>
          <w:spacing w:val="-3"/>
          <w:sz w:val="20"/>
        </w:rPr>
        <w:t>millones </w:t>
      </w:r>
      <w:r>
        <w:rPr>
          <w:sz w:val="20"/>
        </w:rPr>
        <w:t>de </w:t>
      </w:r>
      <w:r>
        <w:rPr>
          <w:spacing w:val="-3"/>
          <w:sz w:val="20"/>
        </w:rPr>
        <w:t>euros </w:t>
      </w:r>
      <w:r>
        <w:rPr>
          <w:spacing w:val="-2"/>
          <w:sz w:val="20"/>
        </w:rPr>
        <w:t>que </w:t>
      </w:r>
      <w:r>
        <w:rPr>
          <w:spacing w:val="-3"/>
          <w:sz w:val="20"/>
        </w:rPr>
        <w:t>continúa </w:t>
      </w:r>
      <w:r>
        <w:rPr>
          <w:sz w:val="20"/>
        </w:rPr>
        <w:t>en </w:t>
      </w:r>
      <w:r>
        <w:rPr>
          <w:spacing w:val="-3"/>
          <w:sz w:val="20"/>
        </w:rPr>
        <w:t>una línea elevada </w:t>
      </w:r>
      <w:r>
        <w:rPr>
          <w:sz w:val="20"/>
        </w:rPr>
        <w:t>de </w:t>
      </w:r>
      <w:r>
        <w:rPr>
          <w:spacing w:val="-3"/>
          <w:sz w:val="20"/>
        </w:rPr>
        <w:t>años anteriores.</w:t>
      </w:r>
    </w:p>
    <w:p>
      <w:pPr>
        <w:pStyle w:val="BodyText"/>
        <w:spacing w:before="2"/>
        <w:rPr>
          <w:sz w:val="29"/>
        </w:rPr>
      </w:pPr>
    </w:p>
    <w:p>
      <w:pPr>
        <w:pStyle w:val="ListParagraph"/>
        <w:numPr>
          <w:ilvl w:val="1"/>
          <w:numId w:val="1"/>
        </w:numPr>
        <w:tabs>
          <w:tab w:pos="1051" w:val="left" w:leader="none"/>
        </w:tabs>
        <w:spacing w:line="360" w:lineRule="auto" w:before="0" w:after="0"/>
        <w:ind w:left="102" w:right="1704" w:firstLine="708"/>
        <w:jc w:val="both"/>
        <w:rPr>
          <w:sz w:val="20"/>
        </w:rPr>
      </w:pPr>
      <w:r>
        <w:rPr>
          <w:sz w:val="20"/>
        </w:rPr>
        <w:t>El</w:t>
      </w:r>
      <w:r>
        <w:rPr>
          <w:spacing w:val="-8"/>
          <w:sz w:val="20"/>
        </w:rPr>
        <w:t> </w:t>
      </w:r>
      <w:r>
        <w:rPr>
          <w:spacing w:val="-3"/>
          <w:sz w:val="20"/>
        </w:rPr>
        <w:t>importe</w:t>
      </w:r>
      <w:r>
        <w:rPr>
          <w:spacing w:val="-6"/>
          <w:sz w:val="20"/>
        </w:rPr>
        <w:t> </w:t>
      </w:r>
      <w:r>
        <w:rPr>
          <w:spacing w:val="-3"/>
          <w:sz w:val="20"/>
        </w:rPr>
        <w:t>presupuestado</w:t>
      </w:r>
      <w:r>
        <w:rPr>
          <w:spacing w:val="-8"/>
          <w:sz w:val="20"/>
        </w:rPr>
        <w:t> </w:t>
      </w:r>
      <w:r>
        <w:rPr>
          <w:spacing w:val="-2"/>
          <w:sz w:val="20"/>
        </w:rPr>
        <w:t>por</w:t>
      </w:r>
      <w:r>
        <w:rPr>
          <w:spacing w:val="-6"/>
          <w:sz w:val="20"/>
        </w:rPr>
        <w:t> </w:t>
      </w:r>
      <w:r>
        <w:rPr>
          <w:spacing w:val="-3"/>
          <w:sz w:val="20"/>
        </w:rPr>
        <w:t>precios</w:t>
      </w:r>
      <w:r>
        <w:rPr>
          <w:spacing w:val="-9"/>
          <w:sz w:val="20"/>
        </w:rPr>
        <w:t> </w:t>
      </w:r>
      <w:r>
        <w:rPr>
          <w:spacing w:val="-3"/>
          <w:sz w:val="20"/>
        </w:rPr>
        <w:t>públicos</w:t>
      </w:r>
      <w:r>
        <w:rPr>
          <w:spacing w:val="-5"/>
          <w:sz w:val="20"/>
        </w:rPr>
        <w:t> </w:t>
      </w:r>
      <w:r>
        <w:rPr>
          <w:spacing w:val="-3"/>
          <w:sz w:val="20"/>
        </w:rPr>
        <w:t>derivados</w:t>
      </w:r>
      <w:r>
        <w:rPr>
          <w:spacing w:val="-5"/>
          <w:sz w:val="20"/>
        </w:rPr>
        <w:t> </w:t>
      </w:r>
      <w:r>
        <w:rPr>
          <w:sz w:val="20"/>
        </w:rPr>
        <w:t>de</w:t>
      </w:r>
      <w:r>
        <w:rPr>
          <w:spacing w:val="-7"/>
          <w:sz w:val="20"/>
        </w:rPr>
        <w:t> </w:t>
      </w:r>
      <w:r>
        <w:rPr>
          <w:spacing w:val="-3"/>
          <w:sz w:val="20"/>
        </w:rPr>
        <w:t>actividades</w:t>
      </w:r>
      <w:r>
        <w:rPr>
          <w:spacing w:val="-5"/>
          <w:sz w:val="20"/>
        </w:rPr>
        <w:t> </w:t>
      </w:r>
      <w:r>
        <w:rPr>
          <w:spacing w:val="-3"/>
          <w:sz w:val="20"/>
        </w:rPr>
        <w:t>deportivas,</w:t>
      </w:r>
      <w:r>
        <w:rPr>
          <w:spacing w:val="-6"/>
          <w:sz w:val="20"/>
        </w:rPr>
        <w:t> </w:t>
      </w:r>
      <w:r>
        <w:rPr>
          <w:sz w:val="20"/>
        </w:rPr>
        <w:t>de</w:t>
      </w:r>
      <w:r>
        <w:rPr>
          <w:spacing w:val="-6"/>
          <w:sz w:val="20"/>
        </w:rPr>
        <w:t> </w:t>
      </w:r>
      <w:r>
        <w:rPr>
          <w:spacing w:val="-3"/>
          <w:sz w:val="20"/>
        </w:rPr>
        <w:t>cultura</w:t>
      </w:r>
      <w:r>
        <w:rPr>
          <w:spacing w:val="-7"/>
          <w:sz w:val="20"/>
        </w:rPr>
        <w:t> </w:t>
      </w:r>
      <w:r>
        <w:rPr>
          <w:sz w:val="20"/>
        </w:rPr>
        <w:t>y</w:t>
      </w:r>
      <w:r>
        <w:rPr>
          <w:spacing w:val="-8"/>
          <w:sz w:val="20"/>
        </w:rPr>
        <w:t> </w:t>
      </w:r>
      <w:r>
        <w:rPr>
          <w:sz w:val="20"/>
        </w:rPr>
        <w:t>de</w:t>
      </w:r>
      <w:r>
        <w:rPr>
          <w:spacing w:val="-9"/>
          <w:sz w:val="20"/>
        </w:rPr>
        <w:t> </w:t>
      </w:r>
      <w:r>
        <w:rPr>
          <w:spacing w:val="-3"/>
          <w:sz w:val="20"/>
        </w:rPr>
        <w:t>juventud </w:t>
      </w:r>
      <w:r>
        <w:rPr>
          <w:sz w:val="20"/>
        </w:rPr>
        <w:t>se</w:t>
      </w:r>
      <w:r>
        <w:rPr>
          <w:spacing w:val="-8"/>
          <w:sz w:val="20"/>
        </w:rPr>
        <w:t> </w:t>
      </w:r>
      <w:r>
        <w:rPr>
          <w:spacing w:val="-3"/>
          <w:sz w:val="20"/>
        </w:rPr>
        <w:t>deriva</w:t>
      </w:r>
      <w:r>
        <w:rPr>
          <w:spacing w:val="-4"/>
          <w:sz w:val="20"/>
        </w:rPr>
        <w:t> </w:t>
      </w:r>
      <w:r>
        <w:rPr>
          <w:sz w:val="20"/>
        </w:rPr>
        <w:t>de</w:t>
      </w:r>
      <w:r>
        <w:rPr>
          <w:spacing w:val="-7"/>
          <w:sz w:val="20"/>
        </w:rPr>
        <w:t> </w:t>
      </w:r>
      <w:r>
        <w:rPr>
          <w:sz w:val="20"/>
        </w:rPr>
        <w:t>las</w:t>
      </w:r>
      <w:r>
        <w:rPr>
          <w:spacing w:val="-6"/>
          <w:sz w:val="20"/>
        </w:rPr>
        <w:t> </w:t>
      </w:r>
      <w:r>
        <w:rPr>
          <w:spacing w:val="-3"/>
          <w:sz w:val="20"/>
        </w:rPr>
        <w:t>cantidades</w:t>
      </w:r>
      <w:r>
        <w:rPr>
          <w:spacing w:val="-7"/>
          <w:sz w:val="20"/>
        </w:rPr>
        <w:t> </w:t>
      </w:r>
      <w:r>
        <w:rPr>
          <w:spacing w:val="-3"/>
          <w:sz w:val="20"/>
        </w:rPr>
        <w:t>reconocidas</w:t>
      </w:r>
      <w:r>
        <w:rPr>
          <w:spacing w:val="-6"/>
          <w:sz w:val="20"/>
        </w:rPr>
        <w:t> </w:t>
      </w:r>
      <w:r>
        <w:rPr>
          <w:sz w:val="20"/>
        </w:rPr>
        <w:t>en</w:t>
      </w:r>
      <w:r>
        <w:rPr>
          <w:spacing w:val="-6"/>
          <w:sz w:val="20"/>
        </w:rPr>
        <w:t> </w:t>
      </w:r>
      <w:r>
        <w:rPr>
          <w:spacing w:val="-3"/>
          <w:sz w:val="20"/>
        </w:rPr>
        <w:t>ejercicios</w:t>
      </w:r>
      <w:r>
        <w:rPr>
          <w:spacing w:val="-8"/>
          <w:sz w:val="20"/>
        </w:rPr>
        <w:t> </w:t>
      </w:r>
      <w:r>
        <w:rPr>
          <w:spacing w:val="-3"/>
          <w:sz w:val="20"/>
        </w:rPr>
        <w:t>anteriores.</w:t>
      </w:r>
    </w:p>
    <w:p>
      <w:pPr>
        <w:pStyle w:val="BodyText"/>
        <w:spacing w:before="2"/>
        <w:rPr>
          <w:sz w:val="30"/>
        </w:rPr>
      </w:pPr>
    </w:p>
    <w:p>
      <w:pPr>
        <w:pStyle w:val="ListParagraph"/>
        <w:numPr>
          <w:ilvl w:val="0"/>
          <w:numId w:val="2"/>
        </w:numPr>
        <w:tabs>
          <w:tab w:pos="1080" w:val="left" w:leader="none"/>
        </w:tabs>
        <w:spacing w:line="362" w:lineRule="auto" w:before="0" w:after="0"/>
        <w:ind w:left="102" w:right="1690" w:firstLine="708"/>
        <w:jc w:val="both"/>
        <w:rPr>
          <w:sz w:val="20"/>
        </w:rPr>
      </w:pPr>
      <w:r>
        <w:rPr>
          <w:sz w:val="20"/>
        </w:rPr>
        <w:t>El </w:t>
      </w:r>
      <w:r>
        <w:rPr>
          <w:spacing w:val="-3"/>
          <w:sz w:val="20"/>
        </w:rPr>
        <w:t>resto </w:t>
      </w:r>
      <w:r>
        <w:rPr>
          <w:sz w:val="20"/>
        </w:rPr>
        <w:t>de </w:t>
      </w:r>
      <w:r>
        <w:rPr>
          <w:spacing w:val="-3"/>
          <w:sz w:val="20"/>
        </w:rPr>
        <w:t>ingresos del capítulo tercero derivados </w:t>
      </w:r>
      <w:r>
        <w:rPr>
          <w:sz w:val="20"/>
        </w:rPr>
        <w:t>de </w:t>
      </w:r>
      <w:r>
        <w:rPr>
          <w:spacing w:val="-3"/>
          <w:sz w:val="20"/>
        </w:rPr>
        <w:t>tasas </w:t>
      </w:r>
      <w:r>
        <w:rPr>
          <w:spacing w:val="-2"/>
          <w:sz w:val="20"/>
        </w:rPr>
        <w:t>por </w:t>
      </w:r>
      <w:r>
        <w:rPr>
          <w:spacing w:val="-3"/>
          <w:sz w:val="20"/>
        </w:rPr>
        <w:t>diferentes servicios municipales </w:t>
      </w:r>
      <w:r>
        <w:rPr>
          <w:sz w:val="20"/>
        </w:rPr>
        <w:t>o de </w:t>
      </w:r>
      <w:r>
        <w:rPr>
          <w:spacing w:val="-3"/>
          <w:sz w:val="20"/>
        </w:rPr>
        <w:t>ocupación</w:t>
      </w:r>
      <w:r>
        <w:rPr>
          <w:spacing w:val="32"/>
          <w:sz w:val="20"/>
        </w:rPr>
        <w:t> </w:t>
      </w:r>
      <w:r>
        <w:rPr>
          <w:sz w:val="20"/>
        </w:rPr>
        <w:t>de</w:t>
      </w:r>
      <w:r>
        <w:rPr>
          <w:spacing w:val="34"/>
          <w:sz w:val="20"/>
        </w:rPr>
        <w:t> </w:t>
      </w:r>
      <w:r>
        <w:rPr>
          <w:spacing w:val="-3"/>
          <w:sz w:val="20"/>
        </w:rPr>
        <w:t>bienes</w:t>
      </w:r>
      <w:r>
        <w:rPr>
          <w:spacing w:val="31"/>
          <w:sz w:val="20"/>
        </w:rPr>
        <w:t> </w:t>
      </w:r>
      <w:r>
        <w:rPr>
          <w:sz w:val="20"/>
        </w:rPr>
        <w:t>de</w:t>
      </w:r>
      <w:r>
        <w:rPr>
          <w:spacing w:val="32"/>
          <w:sz w:val="20"/>
        </w:rPr>
        <w:t> </w:t>
      </w:r>
      <w:r>
        <w:rPr>
          <w:spacing w:val="-3"/>
          <w:sz w:val="20"/>
        </w:rPr>
        <w:t>dominio</w:t>
      </w:r>
      <w:r>
        <w:rPr>
          <w:spacing w:val="33"/>
          <w:sz w:val="20"/>
        </w:rPr>
        <w:t> </w:t>
      </w:r>
      <w:r>
        <w:rPr>
          <w:spacing w:val="-3"/>
          <w:sz w:val="20"/>
        </w:rPr>
        <w:t>público</w:t>
      </w:r>
      <w:r>
        <w:rPr>
          <w:spacing w:val="30"/>
          <w:sz w:val="20"/>
        </w:rPr>
        <w:t> </w:t>
      </w:r>
      <w:r>
        <w:rPr>
          <w:sz w:val="20"/>
        </w:rPr>
        <w:t>se</w:t>
      </w:r>
      <w:r>
        <w:rPr>
          <w:spacing w:val="34"/>
          <w:sz w:val="20"/>
        </w:rPr>
        <w:t> </w:t>
      </w:r>
      <w:r>
        <w:rPr>
          <w:spacing w:val="-3"/>
          <w:sz w:val="20"/>
        </w:rPr>
        <w:t>derivan</w:t>
      </w:r>
      <w:r>
        <w:rPr>
          <w:spacing w:val="33"/>
          <w:sz w:val="20"/>
        </w:rPr>
        <w:t> </w:t>
      </w:r>
      <w:r>
        <w:rPr>
          <w:spacing w:val="-3"/>
          <w:sz w:val="20"/>
        </w:rPr>
        <w:t>de</w:t>
      </w:r>
      <w:r>
        <w:rPr>
          <w:spacing w:val="32"/>
          <w:sz w:val="20"/>
        </w:rPr>
        <w:t> </w:t>
      </w:r>
      <w:r>
        <w:rPr>
          <w:sz w:val="20"/>
        </w:rPr>
        <w:t>los</w:t>
      </w:r>
      <w:r>
        <w:rPr>
          <w:spacing w:val="31"/>
          <w:sz w:val="20"/>
        </w:rPr>
        <w:t> </w:t>
      </w:r>
      <w:r>
        <w:rPr>
          <w:spacing w:val="-3"/>
          <w:sz w:val="20"/>
        </w:rPr>
        <w:t>importes</w:t>
      </w:r>
      <w:r>
        <w:rPr>
          <w:spacing w:val="31"/>
          <w:sz w:val="20"/>
        </w:rPr>
        <w:t> </w:t>
      </w:r>
      <w:r>
        <w:rPr>
          <w:spacing w:val="-3"/>
          <w:sz w:val="20"/>
        </w:rPr>
        <w:t>reconocidos</w:t>
      </w:r>
      <w:r>
        <w:rPr>
          <w:spacing w:val="31"/>
          <w:sz w:val="20"/>
        </w:rPr>
        <w:t> </w:t>
      </w:r>
      <w:r>
        <w:rPr>
          <w:sz w:val="20"/>
        </w:rPr>
        <w:t>en</w:t>
      </w:r>
      <w:r>
        <w:rPr>
          <w:spacing w:val="32"/>
          <w:sz w:val="20"/>
        </w:rPr>
        <w:t> </w:t>
      </w:r>
      <w:r>
        <w:rPr>
          <w:spacing w:val="-3"/>
          <w:sz w:val="20"/>
        </w:rPr>
        <w:t>el</w:t>
      </w:r>
      <w:r>
        <w:rPr>
          <w:spacing w:val="31"/>
          <w:sz w:val="20"/>
        </w:rPr>
        <w:t> </w:t>
      </w:r>
      <w:r>
        <w:rPr>
          <w:spacing w:val="-3"/>
          <w:sz w:val="20"/>
        </w:rPr>
        <w:t>ejercicio</w:t>
      </w:r>
      <w:r>
        <w:rPr>
          <w:spacing w:val="30"/>
          <w:sz w:val="20"/>
        </w:rPr>
        <w:t> </w:t>
      </w:r>
      <w:r>
        <w:rPr>
          <w:spacing w:val="-3"/>
          <w:sz w:val="20"/>
        </w:rPr>
        <w:t>anterior</w:t>
      </w:r>
      <w:r>
        <w:rPr>
          <w:spacing w:val="32"/>
          <w:sz w:val="20"/>
        </w:rPr>
        <w:t> </w:t>
      </w:r>
      <w:r>
        <w:rPr>
          <w:spacing w:val="-2"/>
          <w:sz w:val="20"/>
        </w:rPr>
        <w:t>por</w:t>
      </w:r>
      <w:r>
        <w:rPr>
          <w:spacing w:val="30"/>
          <w:sz w:val="20"/>
        </w:rPr>
        <w:t> </w:t>
      </w:r>
      <w:r>
        <w:rPr>
          <w:sz w:val="20"/>
        </w:rPr>
        <w:t>tales</w:t>
      </w:r>
    </w:p>
    <w:p>
      <w:pPr>
        <w:spacing w:after="0" w:line="362" w:lineRule="auto"/>
        <w:jc w:val="both"/>
        <w:rPr>
          <w:sz w:val="20"/>
        </w:rPr>
        <w:sectPr>
          <w:headerReference w:type="default" r:id="rId5"/>
          <w:type w:val="continuous"/>
          <w:pgSz w:w="11900" w:h="16840"/>
          <w:pgMar w:header="696" w:top="2480" w:bottom="280" w:left="800" w:right="0"/>
        </w:sectPr>
      </w:pPr>
    </w:p>
    <w:p>
      <w:pPr>
        <w:pStyle w:val="BodyText"/>
        <w:spacing w:before="4"/>
        <w:rPr>
          <w:sz w:val="16"/>
        </w:rPr>
      </w:pPr>
      <w:r>
        <w:rPr/>
        <w:pict>
          <v:line style="position:absolute;mso-position-horizontal-relative:page;mso-position-vertical-relative:page;z-index:251660288"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15711470352041161320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79" w:lineRule="exact" w:before="117"/>
        <w:ind w:left="102"/>
      </w:pPr>
      <w:r>
        <w:rPr/>
        <w:t>conceptos, en función de los contratos en vigor siguiendo un criterio de prudencia. En lo que se refiere al canon de</w:t>
      </w:r>
    </w:p>
    <w:p>
      <w:pPr>
        <w:pStyle w:val="BodyText"/>
        <w:spacing w:line="181" w:lineRule="exact"/>
        <w:ind w:left="502" w:right="8879"/>
        <w:jc w:val="center"/>
        <w:rPr>
          <w:rFonts w:ascii="Calibri"/>
        </w:rPr>
      </w:pPr>
      <w:r>
        <w:rPr>
          <w:rFonts w:ascii="Calibri"/>
        </w:rPr>
        <w:t>Fax 928833549</w:t>
      </w:r>
    </w:p>
    <w:p>
      <w:pPr>
        <w:pStyle w:val="BodyText"/>
        <w:spacing w:line="360" w:lineRule="auto"/>
        <w:ind w:left="102" w:right="1343"/>
      </w:pPr>
      <w:r>
        <w:rPr/>
        <w:t>playas no se presupuesta en tanto finaliza en octubre la explotación vigente y está pendiente de nueva licitación. También se incluye la previsión de ingreso por el bar-mirador que fue licitado.</w:t>
      </w:r>
    </w:p>
    <w:p>
      <w:pPr>
        <w:pStyle w:val="BodyText"/>
        <w:spacing w:before="1"/>
        <w:rPr>
          <w:sz w:val="29"/>
        </w:rPr>
      </w:pPr>
    </w:p>
    <w:p>
      <w:pPr>
        <w:pStyle w:val="ListParagraph"/>
        <w:numPr>
          <w:ilvl w:val="0"/>
          <w:numId w:val="2"/>
        </w:numPr>
        <w:tabs>
          <w:tab w:pos="1039" w:val="left" w:leader="none"/>
        </w:tabs>
        <w:spacing w:line="360" w:lineRule="auto" w:before="0" w:after="0"/>
        <w:ind w:left="102" w:right="1704" w:firstLine="708"/>
        <w:jc w:val="both"/>
        <w:rPr>
          <w:sz w:val="20"/>
        </w:rPr>
      </w:pPr>
      <w:r>
        <w:rPr>
          <w:sz w:val="20"/>
        </w:rPr>
        <w:t>En relación con el capítulo cuarto del presupuesto de ingresos relativo a las transferencias corrientes percibidas por el Ayuntamiento, tenemos que destacar lo</w:t>
      </w:r>
      <w:r>
        <w:rPr>
          <w:spacing w:val="-20"/>
          <w:sz w:val="20"/>
        </w:rPr>
        <w:t> </w:t>
      </w:r>
      <w:r>
        <w:rPr>
          <w:sz w:val="20"/>
        </w:rPr>
        <w:t>siguiente:</w:t>
      </w:r>
    </w:p>
    <w:p>
      <w:pPr>
        <w:pStyle w:val="ListParagraph"/>
        <w:numPr>
          <w:ilvl w:val="0"/>
          <w:numId w:val="3"/>
        </w:numPr>
        <w:tabs>
          <w:tab w:pos="1048" w:val="left" w:leader="none"/>
        </w:tabs>
        <w:spacing w:line="362" w:lineRule="auto" w:before="1" w:after="0"/>
        <w:ind w:left="102" w:right="1698" w:firstLine="708"/>
        <w:jc w:val="both"/>
        <w:rPr>
          <w:sz w:val="20"/>
        </w:rPr>
      </w:pPr>
      <w:r>
        <w:rPr>
          <w:sz w:val="20"/>
        </w:rPr>
        <w:t>La </w:t>
      </w:r>
      <w:r>
        <w:rPr>
          <w:spacing w:val="-3"/>
          <w:sz w:val="20"/>
        </w:rPr>
        <w:t>participación </w:t>
      </w:r>
      <w:r>
        <w:rPr>
          <w:sz w:val="20"/>
        </w:rPr>
        <w:t>en </w:t>
      </w:r>
      <w:r>
        <w:rPr>
          <w:spacing w:val="-3"/>
          <w:sz w:val="20"/>
        </w:rPr>
        <w:t>los tributos </w:t>
      </w:r>
      <w:r>
        <w:rPr>
          <w:sz w:val="20"/>
        </w:rPr>
        <w:t>del </w:t>
      </w:r>
      <w:r>
        <w:rPr>
          <w:spacing w:val="-3"/>
          <w:sz w:val="20"/>
        </w:rPr>
        <w:t>Estado </w:t>
      </w:r>
      <w:r>
        <w:rPr>
          <w:sz w:val="20"/>
        </w:rPr>
        <w:t>se </w:t>
      </w:r>
      <w:r>
        <w:rPr>
          <w:spacing w:val="-3"/>
          <w:sz w:val="20"/>
        </w:rPr>
        <w:t>ha presupuestado </w:t>
      </w:r>
      <w:r>
        <w:rPr>
          <w:sz w:val="20"/>
        </w:rPr>
        <w:t>en </w:t>
      </w:r>
      <w:r>
        <w:rPr>
          <w:spacing w:val="-3"/>
          <w:sz w:val="20"/>
        </w:rPr>
        <w:t>función </w:t>
      </w:r>
      <w:r>
        <w:rPr>
          <w:sz w:val="20"/>
        </w:rPr>
        <w:t>de las </w:t>
      </w:r>
      <w:r>
        <w:rPr>
          <w:spacing w:val="-3"/>
          <w:sz w:val="20"/>
        </w:rPr>
        <w:t>entregas </w:t>
      </w:r>
      <w:r>
        <w:rPr>
          <w:sz w:val="20"/>
        </w:rPr>
        <w:t>a </w:t>
      </w:r>
      <w:r>
        <w:rPr>
          <w:spacing w:val="-3"/>
          <w:sz w:val="20"/>
        </w:rPr>
        <w:t>cuenta </w:t>
      </w:r>
      <w:r>
        <w:rPr>
          <w:sz w:val="20"/>
        </w:rPr>
        <w:t>ya </w:t>
      </w:r>
      <w:r>
        <w:rPr>
          <w:spacing w:val="-3"/>
          <w:sz w:val="20"/>
        </w:rPr>
        <w:t>efectivas</w:t>
      </w:r>
      <w:r>
        <w:rPr>
          <w:spacing w:val="-7"/>
          <w:sz w:val="20"/>
        </w:rPr>
        <w:t> </w:t>
      </w:r>
      <w:r>
        <w:rPr>
          <w:sz w:val="20"/>
        </w:rPr>
        <w:t>de</w:t>
      </w:r>
      <w:r>
        <w:rPr>
          <w:spacing w:val="-8"/>
          <w:sz w:val="20"/>
        </w:rPr>
        <w:t> </w:t>
      </w:r>
      <w:r>
        <w:rPr>
          <w:spacing w:val="-3"/>
          <w:sz w:val="20"/>
        </w:rPr>
        <w:t>los</w:t>
      </w:r>
      <w:r>
        <w:rPr>
          <w:spacing w:val="-7"/>
          <w:sz w:val="20"/>
        </w:rPr>
        <w:t> </w:t>
      </w:r>
      <w:r>
        <w:rPr>
          <w:spacing w:val="-3"/>
          <w:sz w:val="20"/>
        </w:rPr>
        <w:t>primeros</w:t>
      </w:r>
      <w:r>
        <w:rPr>
          <w:spacing w:val="-6"/>
          <w:sz w:val="20"/>
        </w:rPr>
        <w:t> </w:t>
      </w:r>
      <w:r>
        <w:rPr>
          <w:spacing w:val="-3"/>
          <w:sz w:val="20"/>
        </w:rPr>
        <w:t>meses</w:t>
      </w:r>
      <w:r>
        <w:rPr>
          <w:spacing w:val="-7"/>
          <w:sz w:val="20"/>
        </w:rPr>
        <w:t> </w:t>
      </w:r>
      <w:r>
        <w:rPr>
          <w:spacing w:val="-2"/>
          <w:sz w:val="20"/>
        </w:rPr>
        <w:t>del</w:t>
      </w:r>
      <w:r>
        <w:rPr>
          <w:spacing w:val="-8"/>
          <w:sz w:val="20"/>
        </w:rPr>
        <w:t> </w:t>
      </w:r>
      <w:r>
        <w:rPr>
          <w:sz w:val="20"/>
        </w:rPr>
        <w:t>año</w:t>
      </w:r>
      <w:r>
        <w:rPr>
          <w:spacing w:val="-7"/>
          <w:sz w:val="20"/>
        </w:rPr>
        <w:t> </w:t>
      </w:r>
      <w:r>
        <w:rPr>
          <w:spacing w:val="-3"/>
          <w:sz w:val="20"/>
        </w:rPr>
        <w:t>suponiendo</w:t>
      </w:r>
      <w:r>
        <w:rPr>
          <w:spacing w:val="-6"/>
          <w:sz w:val="20"/>
        </w:rPr>
        <w:t> </w:t>
      </w:r>
      <w:r>
        <w:rPr>
          <w:sz w:val="20"/>
        </w:rPr>
        <w:t>un</w:t>
      </w:r>
      <w:r>
        <w:rPr>
          <w:spacing w:val="-7"/>
          <w:sz w:val="20"/>
        </w:rPr>
        <w:t> </w:t>
      </w:r>
      <w:r>
        <w:rPr>
          <w:spacing w:val="-3"/>
          <w:sz w:val="20"/>
        </w:rPr>
        <w:t>incremento</w:t>
      </w:r>
      <w:r>
        <w:rPr>
          <w:spacing w:val="-7"/>
          <w:sz w:val="20"/>
        </w:rPr>
        <w:t> </w:t>
      </w:r>
      <w:r>
        <w:rPr>
          <w:spacing w:val="-3"/>
          <w:sz w:val="20"/>
        </w:rPr>
        <w:t>respecto</w:t>
      </w:r>
      <w:r>
        <w:rPr>
          <w:spacing w:val="-6"/>
          <w:sz w:val="20"/>
        </w:rPr>
        <w:t> </w:t>
      </w:r>
      <w:r>
        <w:rPr>
          <w:sz w:val="20"/>
        </w:rPr>
        <w:t>a</w:t>
      </w:r>
      <w:r>
        <w:rPr>
          <w:spacing w:val="-5"/>
          <w:sz w:val="20"/>
        </w:rPr>
        <w:t> </w:t>
      </w:r>
      <w:r>
        <w:rPr>
          <w:sz w:val="20"/>
        </w:rPr>
        <w:t>la</w:t>
      </w:r>
      <w:r>
        <w:rPr>
          <w:spacing w:val="-8"/>
          <w:sz w:val="20"/>
        </w:rPr>
        <w:t> </w:t>
      </w:r>
      <w:r>
        <w:rPr>
          <w:spacing w:val="-3"/>
          <w:sz w:val="20"/>
        </w:rPr>
        <w:t>previsión</w:t>
      </w:r>
      <w:r>
        <w:rPr>
          <w:spacing w:val="-7"/>
          <w:sz w:val="20"/>
        </w:rPr>
        <w:t> </w:t>
      </w:r>
      <w:r>
        <w:rPr>
          <w:spacing w:val="-3"/>
          <w:sz w:val="20"/>
        </w:rPr>
        <w:t>para</w:t>
      </w:r>
      <w:r>
        <w:rPr>
          <w:spacing w:val="-4"/>
          <w:sz w:val="20"/>
        </w:rPr>
        <w:t> </w:t>
      </w:r>
      <w:r>
        <w:rPr>
          <w:spacing w:val="-3"/>
          <w:sz w:val="20"/>
        </w:rPr>
        <w:t>2024</w:t>
      </w:r>
      <w:r>
        <w:rPr>
          <w:spacing w:val="-7"/>
          <w:sz w:val="20"/>
        </w:rPr>
        <w:t> </w:t>
      </w:r>
      <w:r>
        <w:rPr>
          <w:spacing w:val="-3"/>
          <w:sz w:val="20"/>
        </w:rPr>
        <w:t>importante.</w:t>
      </w:r>
    </w:p>
    <w:p>
      <w:pPr>
        <w:pStyle w:val="ListParagraph"/>
        <w:numPr>
          <w:ilvl w:val="0"/>
          <w:numId w:val="3"/>
        </w:numPr>
        <w:tabs>
          <w:tab w:pos="1027" w:val="left" w:leader="none"/>
        </w:tabs>
        <w:spacing w:line="360" w:lineRule="auto" w:before="0" w:after="0"/>
        <w:ind w:left="102" w:right="1683" w:firstLine="708"/>
        <w:jc w:val="both"/>
        <w:rPr>
          <w:sz w:val="20"/>
        </w:rPr>
      </w:pPr>
      <w:r>
        <w:rPr>
          <w:spacing w:val="-3"/>
          <w:sz w:val="20"/>
        </w:rPr>
        <w:t>Respecto </w:t>
      </w:r>
      <w:r>
        <w:rPr>
          <w:sz w:val="20"/>
        </w:rPr>
        <w:t>de la Carta Municipal (Información suministrada por la FECAM) nos encontramos con que la cifra</w:t>
      </w:r>
      <w:r>
        <w:rPr>
          <w:spacing w:val="-2"/>
          <w:sz w:val="20"/>
        </w:rPr>
        <w:t> </w:t>
      </w:r>
      <w:r>
        <w:rPr>
          <w:sz w:val="20"/>
        </w:rPr>
        <w:t>del</w:t>
      </w:r>
      <w:r>
        <w:rPr>
          <w:spacing w:val="-2"/>
          <w:sz w:val="20"/>
        </w:rPr>
        <w:t> </w:t>
      </w:r>
      <w:r>
        <w:rPr>
          <w:sz w:val="20"/>
        </w:rPr>
        <w:t>REF e</w:t>
      </w:r>
      <w:r>
        <w:rPr>
          <w:spacing w:val="-4"/>
          <w:sz w:val="20"/>
        </w:rPr>
        <w:t> </w:t>
      </w:r>
      <w:r>
        <w:rPr>
          <w:sz w:val="20"/>
        </w:rPr>
        <w:t>IGTE</w:t>
      </w:r>
      <w:r>
        <w:rPr>
          <w:spacing w:val="-1"/>
          <w:sz w:val="20"/>
        </w:rPr>
        <w:t> </w:t>
      </w:r>
      <w:r>
        <w:rPr>
          <w:sz w:val="20"/>
        </w:rPr>
        <w:t>se</w:t>
      </w:r>
      <w:r>
        <w:rPr>
          <w:spacing w:val="-2"/>
          <w:sz w:val="20"/>
        </w:rPr>
        <w:t> </w:t>
      </w:r>
      <w:r>
        <w:rPr>
          <w:sz w:val="20"/>
        </w:rPr>
        <w:t>ve</w:t>
      </w:r>
      <w:r>
        <w:rPr>
          <w:spacing w:val="-4"/>
          <w:sz w:val="20"/>
        </w:rPr>
        <w:t> </w:t>
      </w:r>
      <w:r>
        <w:rPr>
          <w:sz w:val="20"/>
        </w:rPr>
        <w:t>aumentada</w:t>
      </w:r>
      <w:r>
        <w:rPr>
          <w:spacing w:val="-2"/>
          <w:sz w:val="20"/>
        </w:rPr>
        <w:t> </w:t>
      </w:r>
      <w:r>
        <w:rPr>
          <w:sz w:val="20"/>
        </w:rPr>
        <w:t>en</w:t>
      </w:r>
      <w:r>
        <w:rPr>
          <w:spacing w:val="-3"/>
          <w:sz w:val="20"/>
        </w:rPr>
        <w:t> </w:t>
      </w:r>
      <w:r>
        <w:rPr>
          <w:sz w:val="20"/>
        </w:rPr>
        <w:t>unos</w:t>
      </w:r>
      <w:r>
        <w:rPr>
          <w:spacing w:val="-3"/>
          <w:sz w:val="20"/>
        </w:rPr>
        <w:t> </w:t>
      </w:r>
      <w:r>
        <w:rPr>
          <w:sz w:val="20"/>
        </w:rPr>
        <w:t>0,1</w:t>
      </w:r>
      <w:r>
        <w:rPr>
          <w:spacing w:val="-3"/>
          <w:sz w:val="20"/>
        </w:rPr>
        <w:t> </w:t>
      </w:r>
      <w:r>
        <w:rPr>
          <w:sz w:val="20"/>
        </w:rPr>
        <w:t>millones</w:t>
      </w:r>
      <w:r>
        <w:rPr>
          <w:spacing w:val="-3"/>
          <w:sz w:val="20"/>
        </w:rPr>
        <w:t> </w:t>
      </w:r>
      <w:r>
        <w:rPr>
          <w:sz w:val="20"/>
        </w:rPr>
        <w:t>de</w:t>
      </w:r>
      <w:r>
        <w:rPr>
          <w:spacing w:val="-2"/>
          <w:sz w:val="20"/>
        </w:rPr>
        <w:t> </w:t>
      </w:r>
      <w:r>
        <w:rPr>
          <w:sz w:val="20"/>
        </w:rPr>
        <w:t>euros en</w:t>
      </w:r>
      <w:r>
        <w:rPr>
          <w:spacing w:val="-3"/>
          <w:sz w:val="20"/>
        </w:rPr>
        <w:t> </w:t>
      </w:r>
      <w:r>
        <w:rPr>
          <w:sz w:val="20"/>
        </w:rPr>
        <w:t>base</w:t>
      </w:r>
      <w:r>
        <w:rPr>
          <w:spacing w:val="-2"/>
          <w:sz w:val="20"/>
        </w:rPr>
        <w:t> </w:t>
      </w:r>
      <w:r>
        <w:rPr>
          <w:sz w:val="20"/>
        </w:rPr>
        <w:t>a</w:t>
      </w:r>
      <w:r>
        <w:rPr>
          <w:spacing w:val="-4"/>
          <w:sz w:val="20"/>
        </w:rPr>
        <w:t> </w:t>
      </w:r>
      <w:r>
        <w:rPr>
          <w:sz w:val="20"/>
        </w:rPr>
        <w:t>la</w:t>
      </w:r>
      <w:r>
        <w:rPr>
          <w:spacing w:val="-1"/>
          <w:sz w:val="20"/>
        </w:rPr>
        <w:t> </w:t>
      </w:r>
      <w:r>
        <w:rPr>
          <w:sz w:val="20"/>
        </w:rPr>
        <w:t>recaudación</w:t>
      </w:r>
      <w:r>
        <w:rPr>
          <w:spacing w:val="-1"/>
          <w:sz w:val="20"/>
        </w:rPr>
        <w:t> </w:t>
      </w:r>
      <w:r>
        <w:rPr>
          <w:sz w:val="20"/>
        </w:rPr>
        <w:t>estimada</w:t>
      </w:r>
      <w:r>
        <w:rPr>
          <w:spacing w:val="-2"/>
          <w:sz w:val="20"/>
        </w:rPr>
        <w:t> </w:t>
      </w:r>
      <w:r>
        <w:rPr>
          <w:sz w:val="20"/>
        </w:rPr>
        <w:t>de</w:t>
      </w:r>
      <w:r>
        <w:rPr>
          <w:spacing w:val="-2"/>
          <w:sz w:val="20"/>
        </w:rPr>
        <w:t> </w:t>
      </w:r>
      <w:r>
        <w:rPr>
          <w:sz w:val="20"/>
        </w:rPr>
        <w:t>la</w:t>
      </w:r>
      <w:r>
        <w:rPr>
          <w:spacing w:val="-2"/>
          <w:sz w:val="20"/>
        </w:rPr>
        <w:t> </w:t>
      </w:r>
      <w:r>
        <w:rPr>
          <w:sz w:val="20"/>
        </w:rPr>
        <w:t>CCAA por tales conceptos. En lo que se refiere al FCFM se obesrva un incremento de 300.000 euros respecto a</w:t>
      </w:r>
      <w:r>
        <w:rPr>
          <w:spacing w:val="-33"/>
          <w:sz w:val="20"/>
        </w:rPr>
        <w:t> </w:t>
      </w:r>
      <w:r>
        <w:rPr>
          <w:sz w:val="20"/>
        </w:rPr>
        <w:t>2024.</w:t>
      </w:r>
    </w:p>
    <w:p>
      <w:pPr>
        <w:pStyle w:val="ListParagraph"/>
        <w:numPr>
          <w:ilvl w:val="0"/>
          <w:numId w:val="3"/>
        </w:numPr>
        <w:tabs>
          <w:tab w:pos="1029" w:val="left" w:leader="none"/>
        </w:tabs>
        <w:spacing w:line="290" w:lineRule="auto" w:before="1" w:after="0"/>
        <w:ind w:left="102" w:right="1691" w:firstLine="708"/>
        <w:jc w:val="both"/>
        <w:rPr>
          <w:sz w:val="20"/>
        </w:rPr>
      </w:pPr>
      <w:r>
        <w:rPr>
          <w:sz w:val="20"/>
        </w:rPr>
        <w:t>En </w:t>
      </w:r>
      <w:r>
        <w:rPr>
          <w:spacing w:val="-3"/>
          <w:sz w:val="20"/>
        </w:rPr>
        <w:t>lo relativo </w:t>
      </w:r>
      <w:r>
        <w:rPr>
          <w:sz w:val="20"/>
        </w:rPr>
        <w:t>a subvenciones corrientes de la Comunidad Autónoma , tenemos que señalar que no se presupuesta ninguna en tanto que no existen compromisos de aportación y la práctica a realizar es la de generar crédito en el capítulo correspondiente a medida que se vayan resolviendo tales compromisos a favor de la corporación.</w:t>
      </w:r>
    </w:p>
    <w:p>
      <w:pPr>
        <w:pStyle w:val="BodyText"/>
        <w:spacing w:line="288" w:lineRule="auto" w:before="116"/>
        <w:ind w:left="102" w:right="1691" w:firstLine="708"/>
        <w:jc w:val="both"/>
      </w:pPr>
      <w:r>
        <w:rPr/>
        <w:t>Se recoge en Presupuestos una subvención del Cabildo ya con Resolución concedida para potenciar y promover el consumo y producción del producto local.</w:t>
      </w:r>
    </w:p>
    <w:p>
      <w:pPr>
        <w:pStyle w:val="BodyText"/>
        <w:spacing w:line="288" w:lineRule="auto" w:before="122"/>
        <w:ind w:left="102" w:right="1706" w:firstLine="708"/>
        <w:jc w:val="both"/>
      </w:pPr>
      <w:r>
        <w:rPr/>
        <w:t>Para el resto de las transferencias de las que no se deriven compromisos de aportación o que no se prevean a priori, igualmente se irá generando crédito a medida que vayan adquiriendo firmeza.</w:t>
      </w:r>
    </w:p>
    <w:p>
      <w:pPr>
        <w:pStyle w:val="BodyText"/>
        <w:rPr>
          <w:sz w:val="22"/>
        </w:rPr>
      </w:pPr>
    </w:p>
    <w:p>
      <w:pPr>
        <w:pStyle w:val="BodyText"/>
        <w:spacing w:before="8"/>
        <w:rPr>
          <w:sz w:val="18"/>
        </w:rPr>
      </w:pPr>
    </w:p>
    <w:p>
      <w:pPr>
        <w:pStyle w:val="ListParagraph"/>
        <w:numPr>
          <w:ilvl w:val="0"/>
          <w:numId w:val="2"/>
        </w:numPr>
        <w:tabs>
          <w:tab w:pos="1135" w:val="left" w:leader="none"/>
        </w:tabs>
        <w:spacing w:line="290" w:lineRule="auto" w:before="1" w:after="0"/>
        <w:ind w:left="102" w:right="1704" w:firstLine="708"/>
        <w:jc w:val="both"/>
        <w:rPr>
          <w:sz w:val="20"/>
        </w:rPr>
      </w:pPr>
      <w:r>
        <w:rPr>
          <w:sz w:val="20"/>
        </w:rPr>
        <w:t>En relación al capítulo quinto, la magnitud a considerar son los ingresos procedentes de los arrendamientos de locales y quioscos y la revisión de precios anual conforme a la evolución del Indice de Precios al Consumo así como de concesiones</w:t>
      </w:r>
      <w:r>
        <w:rPr>
          <w:spacing w:val="-2"/>
          <w:sz w:val="20"/>
        </w:rPr>
        <w:t> </w:t>
      </w:r>
      <w:r>
        <w:rPr>
          <w:sz w:val="20"/>
        </w:rPr>
        <w:t>vigentes.</w:t>
      </w:r>
    </w:p>
    <w:p>
      <w:pPr>
        <w:pStyle w:val="BodyText"/>
        <w:spacing w:line="288" w:lineRule="auto" w:before="115"/>
        <w:ind w:left="102" w:right="1695" w:firstLine="708"/>
        <w:jc w:val="both"/>
      </w:pPr>
      <w:r>
        <w:rPr/>
        <w:t>Merece especial atención los elevados rendimientos generados por la tesorería en cuentas bancarias, principalmente cajasiete, ascendiendo en 2024 a casi 400.000 euros.</w:t>
      </w:r>
    </w:p>
    <w:p>
      <w:pPr>
        <w:pStyle w:val="BodyText"/>
        <w:rPr>
          <w:sz w:val="22"/>
        </w:rPr>
      </w:pPr>
    </w:p>
    <w:p>
      <w:pPr>
        <w:pStyle w:val="BodyText"/>
        <w:spacing w:before="8"/>
        <w:rPr>
          <w:sz w:val="18"/>
        </w:rPr>
      </w:pPr>
    </w:p>
    <w:p>
      <w:pPr>
        <w:pStyle w:val="ListParagraph"/>
        <w:numPr>
          <w:ilvl w:val="0"/>
          <w:numId w:val="2"/>
        </w:numPr>
        <w:tabs>
          <w:tab w:pos="1068" w:val="left" w:leader="none"/>
        </w:tabs>
        <w:spacing w:line="240" w:lineRule="auto" w:before="0" w:after="0"/>
        <w:ind w:left="1067" w:right="0" w:hanging="258"/>
        <w:jc w:val="left"/>
        <w:rPr>
          <w:sz w:val="20"/>
        </w:rPr>
      </w:pPr>
      <w:r>
        <w:rPr>
          <w:sz w:val="20"/>
        </w:rPr>
        <w:t>En cuanto al capítulo sexto, no se prevé enajenación alguna de</w:t>
      </w:r>
      <w:r>
        <w:rPr>
          <w:spacing w:val="-7"/>
          <w:sz w:val="20"/>
        </w:rPr>
        <w:t> </w:t>
      </w:r>
      <w:r>
        <w:rPr>
          <w:sz w:val="20"/>
        </w:rPr>
        <w:t>bienes.</w:t>
      </w:r>
    </w:p>
    <w:p>
      <w:pPr>
        <w:pStyle w:val="BodyText"/>
        <w:rPr>
          <w:sz w:val="22"/>
        </w:rPr>
      </w:pPr>
    </w:p>
    <w:p>
      <w:pPr>
        <w:pStyle w:val="BodyText"/>
        <w:spacing w:before="1"/>
        <w:rPr>
          <w:sz w:val="18"/>
        </w:rPr>
      </w:pPr>
    </w:p>
    <w:p>
      <w:pPr>
        <w:pStyle w:val="ListParagraph"/>
        <w:numPr>
          <w:ilvl w:val="0"/>
          <w:numId w:val="2"/>
        </w:numPr>
        <w:tabs>
          <w:tab w:pos="1060" w:val="left" w:leader="none"/>
        </w:tabs>
        <w:spacing w:line="362" w:lineRule="auto" w:before="0" w:after="0"/>
        <w:ind w:left="102" w:right="1691" w:firstLine="708"/>
        <w:jc w:val="both"/>
        <w:rPr>
          <w:sz w:val="20"/>
        </w:rPr>
      </w:pPr>
      <w:r>
        <w:rPr>
          <w:sz w:val="20"/>
        </w:rPr>
        <w:t>Las estimaciones del capítulo séptimo relativo a transferencias de capital, no se ha adquirido compromiso alguno de dichas aportaciones</w:t>
      </w:r>
      <w:r>
        <w:rPr>
          <w:spacing w:val="-3"/>
          <w:sz w:val="20"/>
        </w:rPr>
        <w:t> </w:t>
      </w:r>
      <w:r>
        <w:rPr>
          <w:sz w:val="20"/>
        </w:rPr>
        <w:t>aún.</w:t>
      </w:r>
    </w:p>
    <w:p>
      <w:pPr>
        <w:pStyle w:val="BodyText"/>
        <w:rPr>
          <w:sz w:val="30"/>
        </w:rPr>
      </w:pPr>
    </w:p>
    <w:p>
      <w:pPr>
        <w:pStyle w:val="ListParagraph"/>
        <w:numPr>
          <w:ilvl w:val="0"/>
          <w:numId w:val="2"/>
        </w:numPr>
        <w:tabs>
          <w:tab w:pos="1008" w:val="left" w:leader="none"/>
        </w:tabs>
        <w:spacing w:line="240" w:lineRule="auto" w:before="0" w:after="0"/>
        <w:ind w:left="1007" w:right="0" w:hanging="198"/>
        <w:jc w:val="left"/>
        <w:rPr>
          <w:sz w:val="20"/>
        </w:rPr>
      </w:pPr>
      <w:r>
        <w:rPr>
          <w:sz w:val="20"/>
        </w:rPr>
        <w:t>En cuanto a las estimaciones de ingresos del capítulo noveno, no se consigna cantidad</w:t>
      </w:r>
      <w:r>
        <w:rPr>
          <w:spacing w:val="-12"/>
          <w:sz w:val="20"/>
        </w:rPr>
        <w:t> </w:t>
      </w:r>
      <w:r>
        <w:rPr>
          <w:sz w:val="20"/>
        </w:rPr>
        <w:t>alguna.</w:t>
      </w:r>
    </w:p>
    <w:p>
      <w:pPr>
        <w:pStyle w:val="BodyText"/>
        <w:rPr>
          <w:sz w:val="22"/>
        </w:rPr>
      </w:pPr>
    </w:p>
    <w:p>
      <w:pPr>
        <w:pStyle w:val="BodyText"/>
        <w:spacing w:before="1"/>
        <w:rPr>
          <w:sz w:val="18"/>
        </w:rPr>
      </w:pPr>
    </w:p>
    <w:p>
      <w:pPr>
        <w:pStyle w:val="Heading2"/>
        <w:numPr>
          <w:ilvl w:val="0"/>
          <w:numId w:val="1"/>
        </w:numPr>
        <w:tabs>
          <w:tab w:pos="642" w:val="left" w:leader="none"/>
          <w:tab w:pos="643" w:val="left" w:leader="none"/>
        </w:tabs>
        <w:spacing w:line="240" w:lineRule="auto" w:before="0" w:after="0"/>
        <w:ind w:left="642" w:right="0" w:hanging="361"/>
        <w:jc w:val="left"/>
        <w:rPr>
          <w:b w:val="0"/>
          <w:u w:val="none"/>
        </w:rPr>
      </w:pPr>
      <w:r>
        <w:rPr>
          <w:u w:val="single"/>
        </w:rPr>
        <w:t>Bases utilizadas para la evaluación de los gastos consignados en el</w:t>
      </w:r>
      <w:r>
        <w:rPr>
          <w:spacing w:val="-2"/>
          <w:u w:val="single"/>
        </w:rPr>
        <w:t> </w:t>
      </w:r>
      <w:r>
        <w:rPr>
          <w:u w:val="single"/>
        </w:rPr>
        <w:t>Presupuesto</w:t>
      </w:r>
      <w:r>
        <w:rPr>
          <w:b w:val="0"/>
          <w:u w:val="single"/>
        </w:rPr>
        <w:t>.</w:t>
      </w:r>
    </w:p>
    <w:p>
      <w:pPr>
        <w:pStyle w:val="BodyText"/>
      </w:pPr>
    </w:p>
    <w:p>
      <w:pPr>
        <w:pStyle w:val="BodyText"/>
        <w:spacing w:before="4"/>
      </w:pPr>
    </w:p>
    <w:p>
      <w:pPr>
        <w:pStyle w:val="BodyText"/>
        <w:ind w:left="462"/>
      </w:pPr>
      <w:r>
        <w:rPr/>
        <w:t>Para el cálculo y evaluación de los gastos consignados en el presupuesto se han utilizado como referencia:</w:t>
      </w:r>
    </w:p>
    <w:p>
      <w:pPr>
        <w:spacing w:after="0"/>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2336"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15711470352041161320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ListParagraph"/>
        <w:numPr>
          <w:ilvl w:val="0"/>
          <w:numId w:val="4"/>
        </w:numPr>
        <w:tabs>
          <w:tab w:pos="1542" w:val="left" w:leader="none"/>
          <w:tab w:pos="1543" w:val="left" w:leader="none"/>
        </w:tabs>
        <w:spacing w:line="187" w:lineRule="exact" w:before="117" w:after="0"/>
        <w:ind w:left="1542" w:right="0" w:hanging="361"/>
        <w:jc w:val="left"/>
        <w:rPr>
          <w:sz w:val="20"/>
        </w:rPr>
      </w:pPr>
      <w:r>
        <w:rPr>
          <w:sz w:val="20"/>
        </w:rPr>
        <w:t>Los pagos de</w:t>
      </w:r>
      <w:r>
        <w:rPr>
          <w:spacing w:val="12"/>
          <w:sz w:val="20"/>
        </w:rPr>
        <w:t> </w:t>
      </w:r>
      <w:r>
        <w:rPr>
          <w:sz w:val="20"/>
        </w:rPr>
        <w:t>la Corporación considerados prioritarios y ya comprometidos, los obligatorios y los</w:t>
      </w:r>
    </w:p>
    <w:p>
      <w:pPr>
        <w:pStyle w:val="BodyText"/>
        <w:spacing w:line="180" w:lineRule="exact"/>
        <w:ind w:left="502" w:right="8879"/>
        <w:jc w:val="center"/>
        <w:rPr>
          <w:rFonts w:ascii="Calibri"/>
        </w:rPr>
      </w:pPr>
      <w:r>
        <w:rPr>
          <w:rFonts w:ascii="Calibri"/>
        </w:rPr>
        <w:t>Fax 928833549</w:t>
      </w:r>
    </w:p>
    <w:p>
      <w:pPr>
        <w:pStyle w:val="BodyText"/>
        <w:spacing w:line="362" w:lineRule="auto"/>
        <w:ind w:left="1542" w:right="1697"/>
        <w:jc w:val="both"/>
      </w:pPr>
      <w:r>
        <w:rPr/>
        <w:t>exigibles, para los que se han previsto créditos suficientes para su atención, siendo éstos las retribuciones del personal, las obligaciones que contractual y legalmente están ya recogidas, así como los acuerdos que debidamente se hayan adoptado.</w:t>
      </w:r>
    </w:p>
    <w:p>
      <w:pPr>
        <w:pStyle w:val="BodyText"/>
        <w:spacing w:before="3"/>
        <w:rPr>
          <w:sz w:val="29"/>
        </w:rPr>
      </w:pPr>
    </w:p>
    <w:p>
      <w:pPr>
        <w:pStyle w:val="ListParagraph"/>
        <w:numPr>
          <w:ilvl w:val="0"/>
          <w:numId w:val="4"/>
        </w:numPr>
        <w:tabs>
          <w:tab w:pos="1543" w:val="left" w:leader="none"/>
        </w:tabs>
        <w:spacing w:line="357" w:lineRule="auto" w:before="0" w:after="0"/>
        <w:ind w:left="1542" w:right="1701" w:hanging="360"/>
        <w:jc w:val="both"/>
        <w:rPr>
          <w:sz w:val="20"/>
        </w:rPr>
      </w:pPr>
      <w:r>
        <w:rPr>
          <w:sz w:val="20"/>
        </w:rPr>
        <w:t>Las necesidades de los diferentes Servicios Municipales, a los que se han dotado, dentro de las posibilidades de la Hacienda Municipal, con el presupuesto suficiente para su mantenimiento y mejora.</w:t>
      </w:r>
    </w:p>
    <w:p>
      <w:pPr>
        <w:pStyle w:val="BodyText"/>
        <w:spacing w:before="2"/>
        <w:rPr>
          <w:sz w:val="30"/>
        </w:rPr>
      </w:pPr>
    </w:p>
    <w:p>
      <w:pPr>
        <w:pStyle w:val="ListParagraph"/>
        <w:numPr>
          <w:ilvl w:val="0"/>
          <w:numId w:val="4"/>
        </w:numPr>
        <w:tabs>
          <w:tab w:pos="1543" w:val="left" w:leader="none"/>
        </w:tabs>
        <w:spacing w:line="360" w:lineRule="auto" w:before="0" w:after="0"/>
        <w:ind w:left="1542" w:right="1692" w:hanging="360"/>
        <w:jc w:val="both"/>
        <w:rPr>
          <w:sz w:val="20"/>
        </w:rPr>
      </w:pPr>
      <w:r>
        <w:rPr>
          <w:sz w:val="20"/>
        </w:rPr>
        <w:t>En cuanto a los gastos corrientes, el presupuesto de gastos se ha elaborado en algunos casos en base a las obligaciones reconocidas en el año 2024 y las previsiones existentes ya en firme para el ejercicio 2025 en base a las contrataciones que se mantendrán durante el ejercicio, como son el de recogida de residuos con su revisión de precios y el modificado aprobado. Otros aunque en la actualidad no se encuentren contratados, se han presupuestado según las previsiones de los costes de dichos servicios para este ejercicio. Se deberá estar muy atento en la gestión municipal por parte de los técnicos de las cuantías consignadas en sus partidas para el ejercicio y que deberán amoldarse a las mismas para la realización de los servicios de su competencia y así en ningún caso sobrepasar los límites de crédito de sus partidas. Se tienen en cuenta igualmente la imputación de facturas que se giren por bienes y servicios recibidos por la corporación en el 2024 y que se presenten en 2025 formando parte de reconocimientos extrajudiciales que se imputarán a las partidas correspondientes del presupuesto del ejercicio 2025, si bien actualmente la corporación está prácticamente el día en el pago a proveedores con lo que dicho volumen será el habitual, una cifra no muy alta. Son los concejales y los propios técnicos directamente responsables de contratar bienes y servicios por encima de los importes consignados en las partidas.</w:t>
      </w:r>
    </w:p>
    <w:p>
      <w:pPr>
        <w:pStyle w:val="BodyText"/>
        <w:spacing w:before="9"/>
        <w:rPr>
          <w:sz w:val="30"/>
        </w:rPr>
      </w:pPr>
    </w:p>
    <w:p>
      <w:pPr>
        <w:pStyle w:val="ListParagraph"/>
        <w:numPr>
          <w:ilvl w:val="0"/>
          <w:numId w:val="4"/>
        </w:numPr>
        <w:tabs>
          <w:tab w:pos="1543" w:val="left" w:leader="none"/>
        </w:tabs>
        <w:spacing w:line="360" w:lineRule="auto" w:before="1" w:after="0"/>
        <w:ind w:left="1542" w:right="1690" w:hanging="360"/>
        <w:jc w:val="both"/>
        <w:rPr>
          <w:sz w:val="20"/>
        </w:rPr>
      </w:pPr>
      <w:r>
        <w:rPr>
          <w:sz w:val="20"/>
        </w:rPr>
        <w:t>Si bien lo indicado en el apartado anterior en relación con el criterio para la presupuestación de los gastos corrientes es aplicable a la práctica totalidad de las partidas de gastos de tal naturaleza, también tenemos que señalar que numerosas partidas se han presupuestado según las indicaciones realizadas por las diferentes concejalías y los proyectos previstos por estas mismas para el ejercicio.</w:t>
      </w:r>
    </w:p>
    <w:p>
      <w:pPr>
        <w:pStyle w:val="BodyText"/>
        <w:spacing w:before="9"/>
        <w:rPr>
          <w:sz w:val="29"/>
        </w:rPr>
      </w:pPr>
    </w:p>
    <w:p>
      <w:pPr>
        <w:pStyle w:val="ListParagraph"/>
        <w:numPr>
          <w:ilvl w:val="0"/>
          <w:numId w:val="4"/>
        </w:numPr>
        <w:tabs>
          <w:tab w:pos="1543" w:val="left" w:leader="none"/>
        </w:tabs>
        <w:spacing w:line="357" w:lineRule="auto" w:before="0" w:after="0"/>
        <w:ind w:left="1542" w:right="1695" w:hanging="360"/>
        <w:jc w:val="both"/>
        <w:rPr>
          <w:sz w:val="20"/>
        </w:rPr>
      </w:pPr>
      <w:r>
        <w:rPr>
          <w:sz w:val="20"/>
        </w:rPr>
        <w:t>Se ha presupuestado cero cuantía en cuanto a inversiones. Por otro lado nos encontramos la inversión ya existente en base a financiación afectada así como la derivada de incorporaciones de remanentes financiados con el</w:t>
      </w:r>
      <w:r>
        <w:rPr>
          <w:spacing w:val="-4"/>
          <w:sz w:val="20"/>
        </w:rPr>
        <w:t> </w:t>
      </w:r>
      <w:r>
        <w:rPr>
          <w:sz w:val="20"/>
        </w:rPr>
        <w:t>RTGG.</w:t>
      </w:r>
    </w:p>
    <w:p>
      <w:pPr>
        <w:spacing w:after="0" w:line="357" w:lineRule="auto"/>
        <w:jc w:val="both"/>
        <w:rPr>
          <w:sz w:val="20"/>
        </w:rPr>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4384"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15711470352041161320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79" w:lineRule="exact" w:before="117"/>
        <w:ind w:left="1542"/>
      </w:pPr>
      <w:r>
        <w:rPr/>
        <w:t>La cifra para el capítulo 4 aumenta en unos casi 250.000 euros y el capítulo 2 en 2 millones.</w:t>
      </w:r>
    </w:p>
    <w:p>
      <w:pPr>
        <w:pStyle w:val="BodyText"/>
        <w:spacing w:line="193" w:lineRule="exact"/>
        <w:ind w:left="502" w:right="8879"/>
        <w:jc w:val="center"/>
        <w:rPr>
          <w:rFonts w:ascii="Calibri"/>
        </w:rPr>
      </w:pPr>
      <w:r>
        <w:rPr>
          <w:rFonts w:ascii="Calibri"/>
        </w:rPr>
        <w:t>Fax 928833549</w:t>
      </w:r>
    </w:p>
    <w:p>
      <w:pPr>
        <w:pStyle w:val="BodyText"/>
        <w:rPr>
          <w:rFonts w:ascii="Calibri"/>
        </w:rPr>
      </w:pPr>
    </w:p>
    <w:p>
      <w:pPr>
        <w:pStyle w:val="BodyText"/>
        <w:rPr>
          <w:rFonts w:ascii="Calibri"/>
        </w:rPr>
      </w:pPr>
    </w:p>
    <w:p>
      <w:pPr>
        <w:pStyle w:val="BodyText"/>
        <w:rPr>
          <w:rFonts w:ascii="Calibri"/>
          <w:sz w:val="17"/>
        </w:rPr>
      </w:pPr>
    </w:p>
    <w:p>
      <w:pPr>
        <w:pStyle w:val="Heading2"/>
        <w:tabs>
          <w:tab w:pos="810" w:val="left" w:leader="none"/>
        </w:tabs>
        <w:spacing w:before="91"/>
        <w:ind w:left="102"/>
        <w:rPr>
          <w:u w:val="none"/>
        </w:rPr>
      </w:pPr>
      <w:r>
        <w:rPr>
          <w:b w:val="0"/>
          <w:u w:val="none"/>
        </w:rPr>
        <w:t>2.</w:t>
        <w:tab/>
      </w:r>
      <w:r>
        <w:rPr>
          <w:u w:val="single"/>
        </w:rPr>
        <w:t>Suficiencia de los créditos presupuestados de gastos, para atender a las obligaciones de la</w:t>
      </w:r>
      <w:r>
        <w:rPr>
          <w:spacing w:val="-19"/>
          <w:u w:val="single"/>
        </w:rPr>
        <w:t> </w:t>
      </w:r>
      <w:r>
        <w:rPr>
          <w:u w:val="single"/>
        </w:rPr>
        <w:t>Corporación</w:t>
      </w:r>
    </w:p>
    <w:p>
      <w:pPr>
        <w:pStyle w:val="BodyText"/>
        <w:rPr>
          <w:b/>
        </w:rPr>
      </w:pPr>
    </w:p>
    <w:p>
      <w:pPr>
        <w:pStyle w:val="BodyText"/>
        <w:spacing w:before="1"/>
        <w:rPr>
          <w:b/>
        </w:rPr>
      </w:pPr>
    </w:p>
    <w:p>
      <w:pPr>
        <w:spacing w:line="360" w:lineRule="auto" w:before="0"/>
        <w:ind w:left="282" w:right="836" w:firstLine="0"/>
        <w:jc w:val="both"/>
        <w:rPr>
          <w:sz w:val="20"/>
        </w:rPr>
      </w:pPr>
      <w:r>
        <w:rPr>
          <w:sz w:val="20"/>
        </w:rPr>
        <w:t>Tal como señala el artículo 168.1.e) del TRLRHL, el informe económico financiero deberá exponer </w:t>
      </w:r>
      <w:r>
        <w:rPr>
          <w:i/>
          <w:sz w:val="20"/>
        </w:rPr>
        <w:t>“la suficiencia de los créditos para atender al cumplimiento de las obligaciones exigibles y los gastos de funcionamiento de los servicios y, en consecuencia, la efectiva nivelación del presupuesto”. </w:t>
      </w:r>
      <w:r>
        <w:rPr>
          <w:sz w:val="20"/>
        </w:rPr>
        <w:t>Las previsiones de ingresos de los capítulos 1 a 9 son idénticas a los créditos presupuestados para los capítulos 1 a 9 de gastos, por lo que el proyecto de presupuesto elaborado está formalmente nivelado en relación con los créditos previstos para el funcionamiento de la Corporación. Lo que sucede es que en cuanto al cumplimiento del Principio de estabilidad presupuestaria establecido en los artículos 3 y 19 del RD Leg 2/2007, de 28 de diciembre, Texto Refundido de la Ley de Estabilidad Presupuestaria, el que suscribe entiende que éste se ajusta a la estabilidad en términos SECNyR.</w:t>
      </w:r>
    </w:p>
    <w:p>
      <w:pPr>
        <w:pStyle w:val="BodyText"/>
        <w:spacing w:line="360" w:lineRule="auto" w:before="10"/>
        <w:ind w:left="282" w:right="851" w:firstLine="708"/>
        <w:jc w:val="both"/>
      </w:pPr>
      <w:r>
        <w:rPr/>
        <w:t>A este respecto hay que señalar que el Presupuesto se aprobará nivelado en lo que se refiere al total de gastos e ingresos.</w:t>
      </w:r>
    </w:p>
    <w:p>
      <w:pPr>
        <w:pStyle w:val="BodyText"/>
        <w:rPr>
          <w:sz w:val="22"/>
        </w:rPr>
      </w:pPr>
    </w:p>
    <w:p>
      <w:pPr>
        <w:pStyle w:val="BodyText"/>
        <w:rPr>
          <w:sz w:val="22"/>
        </w:rPr>
      </w:pPr>
    </w:p>
    <w:p>
      <w:pPr>
        <w:pStyle w:val="BodyText"/>
        <w:spacing w:before="187"/>
        <w:ind w:left="504" w:right="2092"/>
        <w:jc w:val="center"/>
      </w:pPr>
      <w:r>
        <w:rPr/>
        <w:t>El alcalde</w:t>
      </w:r>
    </w:p>
    <w:p>
      <w:pPr>
        <w:spacing w:after="0"/>
        <w:jc w:val="center"/>
        <w:sectPr>
          <w:pgSz w:w="11900" w:h="16840"/>
          <w:pgMar w:header="696" w:footer="0" w:top="2480" w:bottom="280" w:left="800" w:right="0"/>
        </w:sectPr>
      </w:pPr>
    </w:p>
    <w:p>
      <w:pPr>
        <w:pStyle w:val="Heading1"/>
        <w:spacing w:line="211" w:lineRule="auto" w:before="102"/>
        <w:ind w:right="7016"/>
      </w:pPr>
      <w:r>
        <w:rPr/>
        <w:t>Documento firmado electrónicamente el día 27/02/2025 a las 7:55:53 por: El Alcalde</w:t>
      </w:r>
    </w:p>
    <w:p>
      <w:pPr>
        <w:spacing w:line="238" w:lineRule="exact" w:before="0"/>
        <w:ind w:left="240" w:right="0" w:firstLine="0"/>
        <w:jc w:val="left"/>
        <w:rPr>
          <w:rFonts w:ascii="Arial"/>
          <w:sz w:val="23"/>
        </w:rPr>
      </w:pPr>
      <w:r>
        <w:rPr>
          <w:rFonts w:ascii="Arial"/>
          <w:sz w:val="23"/>
        </w:rPr>
        <w:t>Fdo.: JOSE JUAN CRUZ SAAVEDRA</w:t>
      </w:r>
    </w:p>
    <w:sectPr>
      <w:headerReference w:type="default" r:id="rId7"/>
      <w:pgSz w:w="11900" w:h="16840"/>
      <w:pgMar w:header="0" w:footer="0" w:top="980" w:bottom="280" w:left="8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79040">
          <wp:simplePos x="0" y="0"/>
          <wp:positionH relativeFrom="page">
            <wp:posOffset>1106424</wp:posOffset>
          </wp:positionH>
          <wp:positionV relativeFrom="page">
            <wp:posOffset>441954</wp:posOffset>
          </wp:positionV>
          <wp:extent cx="507491" cy="78638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7491" cy="78638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999977pt;margin-top:113.93029pt;width:104.2pt;height:12pt;mso-position-horizontal-relative:page;mso-position-vertical-relative:page;z-index:-251836416" type="#_x0000_t202" filled="false" stroked="false">
          <v:textbox inset="0,0,0,0">
            <w:txbxContent>
              <w:p>
                <w:pPr>
                  <w:spacing w:line="223" w:lineRule="exact" w:before="0"/>
                  <w:ind w:left="20" w:right="0" w:firstLine="0"/>
                  <w:jc w:val="left"/>
                  <w:rPr>
                    <w:rFonts w:ascii="Calibri" w:hAnsi="Calibri"/>
                    <w:b/>
                    <w:sz w:val="20"/>
                  </w:rPr>
                </w:pPr>
                <w:r>
                  <w:rPr>
                    <w:rFonts w:ascii="Calibri" w:hAnsi="Calibri"/>
                    <w:b/>
                    <w:spacing w:val="-4"/>
                    <w:sz w:val="20"/>
                  </w:rPr>
                  <w:t>AYUNTAMIENTO </w:t>
                </w:r>
                <w:r>
                  <w:rPr>
                    <w:rFonts w:ascii="Calibri" w:hAnsi="Calibri"/>
                    <w:b/>
                    <w:sz w:val="20"/>
                  </w:rPr>
                  <w:t>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542" w:hanging="360"/>
      </w:pPr>
      <w:rPr>
        <w:rFonts w:hint="default" w:ascii="Symbol" w:hAnsi="Symbol" w:eastAsia="Symbol" w:cs="Symbol"/>
        <w:w w:val="99"/>
        <w:sz w:val="20"/>
        <w:szCs w:val="20"/>
      </w:rPr>
    </w:lvl>
    <w:lvl w:ilvl="1">
      <w:start w:val="0"/>
      <w:numFmt w:val="bullet"/>
      <w:lvlText w:val="•"/>
      <w:lvlJc w:val="left"/>
      <w:pPr>
        <w:ind w:left="2496" w:hanging="360"/>
      </w:pPr>
      <w:rPr>
        <w:rFonts w:hint="default"/>
      </w:rPr>
    </w:lvl>
    <w:lvl w:ilvl="2">
      <w:start w:val="0"/>
      <w:numFmt w:val="bullet"/>
      <w:lvlText w:val="•"/>
      <w:lvlJc w:val="left"/>
      <w:pPr>
        <w:ind w:left="3452" w:hanging="360"/>
      </w:pPr>
      <w:rPr>
        <w:rFonts w:hint="default"/>
      </w:rPr>
    </w:lvl>
    <w:lvl w:ilvl="3">
      <w:start w:val="0"/>
      <w:numFmt w:val="bullet"/>
      <w:lvlText w:val="•"/>
      <w:lvlJc w:val="left"/>
      <w:pPr>
        <w:ind w:left="4408" w:hanging="360"/>
      </w:pPr>
      <w:rPr>
        <w:rFonts w:hint="default"/>
      </w:rPr>
    </w:lvl>
    <w:lvl w:ilvl="4">
      <w:start w:val="0"/>
      <w:numFmt w:val="bullet"/>
      <w:lvlText w:val="•"/>
      <w:lvlJc w:val="left"/>
      <w:pPr>
        <w:ind w:left="5364" w:hanging="360"/>
      </w:pPr>
      <w:rPr>
        <w:rFonts w:hint="default"/>
      </w:rPr>
    </w:lvl>
    <w:lvl w:ilvl="5">
      <w:start w:val="0"/>
      <w:numFmt w:val="bullet"/>
      <w:lvlText w:val="•"/>
      <w:lvlJc w:val="left"/>
      <w:pPr>
        <w:ind w:left="6320" w:hanging="360"/>
      </w:pPr>
      <w:rPr>
        <w:rFonts w:hint="default"/>
      </w:rPr>
    </w:lvl>
    <w:lvl w:ilvl="6">
      <w:start w:val="0"/>
      <w:numFmt w:val="bullet"/>
      <w:lvlText w:val="•"/>
      <w:lvlJc w:val="left"/>
      <w:pPr>
        <w:ind w:left="7276" w:hanging="360"/>
      </w:pPr>
      <w:rPr>
        <w:rFonts w:hint="default"/>
      </w:rPr>
    </w:lvl>
    <w:lvl w:ilvl="7">
      <w:start w:val="0"/>
      <w:numFmt w:val="bullet"/>
      <w:lvlText w:val="•"/>
      <w:lvlJc w:val="left"/>
      <w:pPr>
        <w:ind w:left="8232" w:hanging="360"/>
      </w:pPr>
      <w:rPr>
        <w:rFonts w:hint="default"/>
      </w:rPr>
    </w:lvl>
    <w:lvl w:ilvl="8">
      <w:start w:val="0"/>
      <w:numFmt w:val="bullet"/>
      <w:lvlText w:val="•"/>
      <w:lvlJc w:val="left"/>
      <w:pPr>
        <w:ind w:left="9188" w:hanging="360"/>
      </w:pPr>
      <w:rPr>
        <w:rFonts w:hint="default"/>
      </w:rPr>
    </w:lvl>
  </w:abstractNum>
  <w:abstractNum w:abstractNumId="2">
    <w:multiLevelType w:val="hybridMultilevel"/>
    <w:lvl w:ilvl="0">
      <w:start w:val="1"/>
      <w:numFmt w:val="lowerLetter"/>
      <w:lvlText w:val="%1)"/>
      <w:lvlJc w:val="left"/>
      <w:pPr>
        <w:ind w:left="102" w:hanging="238"/>
        <w:jc w:val="left"/>
      </w:pPr>
      <w:rPr>
        <w:rFonts w:hint="default" w:ascii="Times New Roman" w:hAnsi="Times New Roman" w:eastAsia="Times New Roman" w:cs="Times New Roman"/>
        <w:w w:val="99"/>
        <w:sz w:val="20"/>
        <w:szCs w:val="20"/>
      </w:rPr>
    </w:lvl>
    <w:lvl w:ilvl="1">
      <w:start w:val="0"/>
      <w:numFmt w:val="bullet"/>
      <w:lvlText w:val="•"/>
      <w:lvlJc w:val="left"/>
      <w:pPr>
        <w:ind w:left="1200" w:hanging="238"/>
      </w:pPr>
      <w:rPr>
        <w:rFonts w:hint="default"/>
      </w:rPr>
    </w:lvl>
    <w:lvl w:ilvl="2">
      <w:start w:val="0"/>
      <w:numFmt w:val="bullet"/>
      <w:lvlText w:val="•"/>
      <w:lvlJc w:val="left"/>
      <w:pPr>
        <w:ind w:left="2300" w:hanging="238"/>
      </w:pPr>
      <w:rPr>
        <w:rFonts w:hint="default"/>
      </w:rPr>
    </w:lvl>
    <w:lvl w:ilvl="3">
      <w:start w:val="0"/>
      <w:numFmt w:val="bullet"/>
      <w:lvlText w:val="•"/>
      <w:lvlJc w:val="left"/>
      <w:pPr>
        <w:ind w:left="3400" w:hanging="238"/>
      </w:pPr>
      <w:rPr>
        <w:rFonts w:hint="default"/>
      </w:rPr>
    </w:lvl>
    <w:lvl w:ilvl="4">
      <w:start w:val="0"/>
      <w:numFmt w:val="bullet"/>
      <w:lvlText w:val="•"/>
      <w:lvlJc w:val="left"/>
      <w:pPr>
        <w:ind w:left="4500" w:hanging="238"/>
      </w:pPr>
      <w:rPr>
        <w:rFonts w:hint="default"/>
      </w:rPr>
    </w:lvl>
    <w:lvl w:ilvl="5">
      <w:start w:val="0"/>
      <w:numFmt w:val="bullet"/>
      <w:lvlText w:val="•"/>
      <w:lvlJc w:val="left"/>
      <w:pPr>
        <w:ind w:left="5600" w:hanging="238"/>
      </w:pPr>
      <w:rPr>
        <w:rFonts w:hint="default"/>
      </w:rPr>
    </w:lvl>
    <w:lvl w:ilvl="6">
      <w:start w:val="0"/>
      <w:numFmt w:val="bullet"/>
      <w:lvlText w:val="•"/>
      <w:lvlJc w:val="left"/>
      <w:pPr>
        <w:ind w:left="6700" w:hanging="238"/>
      </w:pPr>
      <w:rPr>
        <w:rFonts w:hint="default"/>
      </w:rPr>
    </w:lvl>
    <w:lvl w:ilvl="7">
      <w:start w:val="0"/>
      <w:numFmt w:val="bullet"/>
      <w:lvlText w:val="•"/>
      <w:lvlJc w:val="left"/>
      <w:pPr>
        <w:ind w:left="7800" w:hanging="238"/>
      </w:pPr>
      <w:rPr>
        <w:rFonts w:hint="default"/>
      </w:rPr>
    </w:lvl>
    <w:lvl w:ilvl="8">
      <w:start w:val="0"/>
      <w:numFmt w:val="bullet"/>
      <w:lvlText w:val="•"/>
      <w:lvlJc w:val="left"/>
      <w:pPr>
        <w:ind w:left="8900" w:hanging="238"/>
      </w:pPr>
      <w:rPr>
        <w:rFonts w:hint="default"/>
      </w:rPr>
    </w:lvl>
  </w:abstractNum>
  <w:abstractNum w:abstractNumId="1">
    <w:multiLevelType w:val="hybridMultilevel"/>
    <w:lvl w:ilvl="0">
      <w:start w:val="5"/>
      <w:numFmt w:val="upperLetter"/>
      <w:lvlText w:val="%1."/>
      <w:lvlJc w:val="left"/>
      <w:pPr>
        <w:ind w:left="102" w:hanging="269"/>
        <w:jc w:val="left"/>
      </w:pPr>
      <w:rPr>
        <w:rFonts w:hint="default" w:ascii="Times New Roman" w:hAnsi="Times New Roman" w:eastAsia="Times New Roman" w:cs="Times New Roman"/>
        <w:b/>
        <w:bCs/>
        <w:spacing w:val="-4"/>
        <w:w w:val="99"/>
        <w:sz w:val="20"/>
        <w:szCs w:val="20"/>
      </w:rPr>
    </w:lvl>
    <w:lvl w:ilvl="1">
      <w:start w:val="0"/>
      <w:numFmt w:val="bullet"/>
      <w:lvlText w:val="•"/>
      <w:lvlJc w:val="left"/>
      <w:pPr>
        <w:ind w:left="1200" w:hanging="269"/>
      </w:pPr>
      <w:rPr>
        <w:rFonts w:hint="default"/>
      </w:rPr>
    </w:lvl>
    <w:lvl w:ilvl="2">
      <w:start w:val="0"/>
      <w:numFmt w:val="bullet"/>
      <w:lvlText w:val="•"/>
      <w:lvlJc w:val="left"/>
      <w:pPr>
        <w:ind w:left="2300" w:hanging="269"/>
      </w:pPr>
      <w:rPr>
        <w:rFonts w:hint="default"/>
      </w:rPr>
    </w:lvl>
    <w:lvl w:ilvl="3">
      <w:start w:val="0"/>
      <w:numFmt w:val="bullet"/>
      <w:lvlText w:val="•"/>
      <w:lvlJc w:val="left"/>
      <w:pPr>
        <w:ind w:left="3400" w:hanging="269"/>
      </w:pPr>
      <w:rPr>
        <w:rFonts w:hint="default"/>
      </w:rPr>
    </w:lvl>
    <w:lvl w:ilvl="4">
      <w:start w:val="0"/>
      <w:numFmt w:val="bullet"/>
      <w:lvlText w:val="•"/>
      <w:lvlJc w:val="left"/>
      <w:pPr>
        <w:ind w:left="4500" w:hanging="269"/>
      </w:pPr>
      <w:rPr>
        <w:rFonts w:hint="default"/>
      </w:rPr>
    </w:lvl>
    <w:lvl w:ilvl="5">
      <w:start w:val="0"/>
      <w:numFmt w:val="bullet"/>
      <w:lvlText w:val="•"/>
      <w:lvlJc w:val="left"/>
      <w:pPr>
        <w:ind w:left="5600" w:hanging="269"/>
      </w:pPr>
      <w:rPr>
        <w:rFonts w:hint="default"/>
      </w:rPr>
    </w:lvl>
    <w:lvl w:ilvl="6">
      <w:start w:val="0"/>
      <w:numFmt w:val="bullet"/>
      <w:lvlText w:val="•"/>
      <w:lvlJc w:val="left"/>
      <w:pPr>
        <w:ind w:left="6700" w:hanging="269"/>
      </w:pPr>
      <w:rPr>
        <w:rFonts w:hint="default"/>
      </w:rPr>
    </w:lvl>
    <w:lvl w:ilvl="7">
      <w:start w:val="0"/>
      <w:numFmt w:val="bullet"/>
      <w:lvlText w:val="•"/>
      <w:lvlJc w:val="left"/>
      <w:pPr>
        <w:ind w:left="7800" w:hanging="269"/>
      </w:pPr>
      <w:rPr>
        <w:rFonts w:hint="default"/>
      </w:rPr>
    </w:lvl>
    <w:lvl w:ilvl="8">
      <w:start w:val="0"/>
      <w:numFmt w:val="bullet"/>
      <w:lvlText w:val="•"/>
      <w:lvlJc w:val="left"/>
      <w:pPr>
        <w:ind w:left="8900" w:hanging="269"/>
      </w:pPr>
      <w:rPr>
        <w:rFonts w:hint="default"/>
      </w:rPr>
    </w:lvl>
  </w:abstractNum>
  <w:abstractNum w:abstractNumId="0">
    <w:multiLevelType w:val="hybridMultilevel"/>
    <w:lvl w:ilvl="0">
      <w:start w:val="1"/>
      <w:numFmt w:val="decimal"/>
      <w:lvlText w:val="%1."/>
      <w:lvlJc w:val="left"/>
      <w:pPr>
        <w:ind w:left="642" w:hanging="360"/>
        <w:jc w:val="left"/>
      </w:pPr>
      <w:rPr>
        <w:rFonts w:hint="default"/>
        <w:b/>
        <w:bCs/>
        <w:spacing w:val="-2"/>
        <w:w w:val="99"/>
      </w:rPr>
    </w:lvl>
    <w:lvl w:ilvl="1">
      <w:start w:val="1"/>
      <w:numFmt w:val="upperLetter"/>
      <w:lvlText w:val="%2."/>
      <w:lvlJc w:val="left"/>
      <w:pPr>
        <w:ind w:left="102" w:hanging="288"/>
        <w:jc w:val="left"/>
      </w:pPr>
      <w:rPr>
        <w:rFonts w:hint="default" w:ascii="Times New Roman" w:hAnsi="Times New Roman" w:eastAsia="Times New Roman" w:cs="Times New Roman"/>
        <w:b/>
        <w:bCs/>
        <w:spacing w:val="-3"/>
        <w:w w:val="99"/>
        <w:sz w:val="20"/>
        <w:szCs w:val="20"/>
      </w:rPr>
    </w:lvl>
    <w:lvl w:ilvl="2">
      <w:start w:val="0"/>
      <w:numFmt w:val="bullet"/>
      <w:lvlText w:val="•"/>
      <w:lvlJc w:val="left"/>
      <w:pPr>
        <w:ind w:left="1802" w:hanging="288"/>
      </w:pPr>
      <w:rPr>
        <w:rFonts w:hint="default"/>
      </w:rPr>
    </w:lvl>
    <w:lvl w:ilvl="3">
      <w:start w:val="0"/>
      <w:numFmt w:val="bullet"/>
      <w:lvlText w:val="•"/>
      <w:lvlJc w:val="left"/>
      <w:pPr>
        <w:ind w:left="2964" w:hanging="288"/>
      </w:pPr>
      <w:rPr>
        <w:rFonts w:hint="default"/>
      </w:rPr>
    </w:lvl>
    <w:lvl w:ilvl="4">
      <w:start w:val="0"/>
      <w:numFmt w:val="bullet"/>
      <w:lvlText w:val="•"/>
      <w:lvlJc w:val="left"/>
      <w:pPr>
        <w:ind w:left="4126" w:hanging="288"/>
      </w:pPr>
      <w:rPr>
        <w:rFonts w:hint="default"/>
      </w:rPr>
    </w:lvl>
    <w:lvl w:ilvl="5">
      <w:start w:val="0"/>
      <w:numFmt w:val="bullet"/>
      <w:lvlText w:val="•"/>
      <w:lvlJc w:val="left"/>
      <w:pPr>
        <w:ind w:left="5288" w:hanging="288"/>
      </w:pPr>
      <w:rPr>
        <w:rFonts w:hint="default"/>
      </w:rPr>
    </w:lvl>
    <w:lvl w:ilvl="6">
      <w:start w:val="0"/>
      <w:numFmt w:val="bullet"/>
      <w:lvlText w:val="•"/>
      <w:lvlJc w:val="left"/>
      <w:pPr>
        <w:ind w:left="6451" w:hanging="288"/>
      </w:pPr>
      <w:rPr>
        <w:rFonts w:hint="default"/>
      </w:rPr>
    </w:lvl>
    <w:lvl w:ilvl="7">
      <w:start w:val="0"/>
      <w:numFmt w:val="bullet"/>
      <w:lvlText w:val="•"/>
      <w:lvlJc w:val="left"/>
      <w:pPr>
        <w:ind w:left="7613" w:hanging="288"/>
      </w:pPr>
      <w:rPr>
        <w:rFonts w:hint="default"/>
      </w:rPr>
    </w:lvl>
    <w:lvl w:ilvl="8">
      <w:start w:val="0"/>
      <w:numFmt w:val="bullet"/>
      <w:lvlText w:val="•"/>
      <w:lvlJc w:val="left"/>
      <w:pPr>
        <w:ind w:left="8775" w:hanging="288"/>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40"/>
      <w:outlineLvl w:val="1"/>
    </w:pPr>
    <w:rPr>
      <w:rFonts w:ascii="Arial" w:hAnsi="Arial" w:eastAsia="Arial" w:cs="Arial"/>
      <w:sz w:val="23"/>
      <w:szCs w:val="23"/>
    </w:rPr>
  </w:style>
  <w:style w:styleId="Heading2" w:type="paragraph">
    <w:name w:val="Heading 2"/>
    <w:basedOn w:val="Normal"/>
    <w:uiPriority w:val="1"/>
    <w:qFormat/>
    <w:pPr>
      <w:ind w:left="642"/>
      <w:outlineLvl w:val="2"/>
    </w:pPr>
    <w:rPr>
      <w:rFonts w:ascii="Times New Roman" w:hAnsi="Times New Roman" w:eastAsia="Times New Roman" w:cs="Times New Roman"/>
      <w:b/>
      <w:bCs/>
      <w:sz w:val="20"/>
      <w:szCs w:val="20"/>
      <w:u w:val="single" w:color="000000"/>
    </w:rPr>
  </w:style>
  <w:style w:styleId="ListParagraph" w:type="paragraph">
    <w:name w:val="List Paragraph"/>
    <w:basedOn w:val="Normal"/>
    <w:uiPriority w:val="1"/>
    <w:qFormat/>
    <w:pPr>
      <w:ind w:left="102" w:firstLine="708"/>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ede.ayuntamientodetias.es/validacion" TargetMode="External"/><Relationship Id="rId7" Type="http://schemas.openxmlformats.org/officeDocument/2006/relationships/header" Target="header2.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maguerra</dc:creator>
  <dc:title>informe eco-fin 2025</dc:title>
  <dcterms:created xsi:type="dcterms:W3CDTF">2025-04-11T11:27:59Z</dcterms:created>
  <dcterms:modified xsi:type="dcterms:W3CDTF">2025-04-11T11:27:59Z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PDFCreator Free 5.0.2</vt:lpwstr>
  </property>
  <property fmtid="{D5CDD505-2E9C-101B-9397-08002B2CF9AE}" pid="4" name="LastSaved">
    <vt:filetime>2025-04-11T00:00:00Z</vt:filetime>
  </property>
</Properties>
</file>