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320" w:right="0" w:firstLine="0"/>
        <w:jc w:val="left"/>
        <w:rPr>
          <w:sz w:val="24"/>
        </w:rPr>
      </w:pPr>
      <w:r>
        <w:rPr>
          <w:sz w:val="24"/>
        </w:rPr>
        <w:t>A) EJECUCIÓN DEL PRESUPUESTO DE INGRESOS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spacing w:line="208" w:lineRule="auto"/>
        <w:ind w:left="1520" w:right="738"/>
        <w:jc w:val="both"/>
      </w:pPr>
      <w:r>
        <w:rPr/>
        <w:t>EJECUCIÓN DEL PRESUPUESTO DE INGRESOS: Refleja la proporción que sobre los ingresos presupuestarios previstos suponen los ingresos presupuestarios netos, esto es, los derechos reconocidos netos</w:t>
      </w:r>
    </w:p>
    <w:p>
      <w:pPr>
        <w:pStyle w:val="BodyText"/>
        <w:spacing w:before="193"/>
        <w:ind w:left="1520"/>
        <w:jc w:val="both"/>
      </w:pPr>
      <w:r>
        <w:rPr/>
        <w:t>FÓRMULA: Derechos reconocidos netos/Previsiones definitivas</w:t>
      </w:r>
    </w:p>
    <w:p>
      <w:pPr>
        <w:pStyle w:val="BodyText"/>
        <w:spacing w:after="1"/>
        <w:rPr>
          <w:sz w:val="24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0"/>
        <w:gridCol w:w="2000"/>
        <w:gridCol w:w="2000"/>
        <w:gridCol w:w="2100"/>
      </w:tblGrid>
      <w:tr>
        <w:trPr>
          <w:trHeight w:val="455" w:hRule="atLeast"/>
        </w:trPr>
        <w:tc>
          <w:tcPr>
            <w:tcW w:w="4900" w:type="dxa"/>
            <w:tcBorders>
              <w:righ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left="1954" w:right="2184"/>
              <w:jc w:val="center"/>
              <w:rPr>
                <w:sz w:val="20"/>
              </w:rPr>
            </w:pPr>
            <w:r>
              <w:rPr>
                <w:sz w:val="20"/>
              </w:rPr>
              <w:t>Capítulo</w:t>
            </w:r>
          </w:p>
        </w:tc>
        <w:tc>
          <w:tcPr>
            <w:tcW w:w="20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right="27"/>
              <w:rPr>
                <w:sz w:val="20"/>
              </w:rPr>
            </w:pPr>
            <w:r>
              <w:rPr>
                <w:sz w:val="20"/>
              </w:rPr>
              <w:t>Previsiones Definitivas</w:t>
            </w:r>
          </w:p>
        </w:tc>
        <w:tc>
          <w:tcPr>
            <w:tcW w:w="20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left="188" w:right="0"/>
              <w:jc w:val="left"/>
              <w:rPr>
                <w:sz w:val="20"/>
              </w:rPr>
            </w:pPr>
            <w:r>
              <w:rPr>
                <w:sz w:val="20"/>
              </w:rPr>
              <w:t>Derechos Rec. Netos</w:t>
            </w:r>
          </w:p>
        </w:tc>
        <w:tc>
          <w:tcPr>
            <w:tcW w:w="2100" w:type="dxa"/>
            <w:tcBorders>
              <w:lef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left="607" w:right="0"/>
              <w:jc w:val="left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  <w:tr>
        <w:trPr>
          <w:trHeight w:val="420" w:hRule="atLeast"/>
        </w:trPr>
        <w:tc>
          <w:tcPr>
            <w:tcW w:w="4900" w:type="dxa"/>
            <w:tcBorders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50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1 - Impuestos directos</w:t>
            </w:r>
          </w:p>
        </w:tc>
        <w:tc>
          <w:tcPr>
            <w:tcW w:w="2000" w:type="dxa"/>
            <w:tcBorders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9.435.005,91</w:t>
            </w:r>
          </w:p>
        </w:tc>
        <w:tc>
          <w:tcPr>
            <w:tcW w:w="2000" w:type="dxa"/>
            <w:tcBorders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11.851.082,47</w:t>
            </w:r>
          </w:p>
        </w:tc>
        <w:tc>
          <w:tcPr>
            <w:tcW w:w="2100" w:type="dxa"/>
            <w:tcBorders>
              <w:left w:val="single" w:sz="8" w:space="0" w:color="0000FF"/>
              <w:bottom w:val="nil"/>
            </w:tcBorders>
          </w:tcPr>
          <w:p>
            <w:pPr>
              <w:pStyle w:val="TableParagraph"/>
              <w:spacing w:before="150"/>
              <w:ind w:right="95"/>
              <w:rPr>
                <w:sz w:val="20"/>
              </w:rPr>
            </w:pPr>
            <w:r>
              <w:rPr>
                <w:sz w:val="20"/>
              </w:rPr>
              <w:t>125,61 %</w:t>
            </w:r>
          </w:p>
        </w:tc>
      </w:tr>
      <w:tr>
        <w:trPr>
          <w:trHeight w:val="300" w:hRule="atLeast"/>
        </w:trPr>
        <w:tc>
          <w:tcPr>
            <w:tcW w:w="49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2 - Impuestos indirectos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6.805.477,34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6.916.964,91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101,64 %</w:t>
            </w:r>
          </w:p>
        </w:tc>
      </w:tr>
      <w:tr>
        <w:trPr>
          <w:trHeight w:val="300" w:hRule="atLeast"/>
        </w:trPr>
        <w:tc>
          <w:tcPr>
            <w:tcW w:w="49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3 - Tasas, precios públicos y otros ingresos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3.478.831,63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5.459.105,06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156,92 %</w:t>
            </w:r>
          </w:p>
        </w:tc>
      </w:tr>
      <w:tr>
        <w:trPr>
          <w:trHeight w:val="300" w:hRule="atLeast"/>
        </w:trPr>
        <w:tc>
          <w:tcPr>
            <w:tcW w:w="49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4 - Transferencias corrientes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12.399.212,30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11.121.381,96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89,69 %</w:t>
            </w:r>
          </w:p>
        </w:tc>
      </w:tr>
      <w:tr>
        <w:trPr>
          <w:trHeight w:val="300" w:hRule="atLeast"/>
        </w:trPr>
        <w:tc>
          <w:tcPr>
            <w:tcW w:w="49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5 - Ingresos patrimoniales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188.000,00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634.407,03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337,45 %</w:t>
            </w:r>
          </w:p>
        </w:tc>
      </w:tr>
      <w:tr>
        <w:trPr>
          <w:trHeight w:val="300" w:hRule="atLeast"/>
        </w:trPr>
        <w:tc>
          <w:tcPr>
            <w:tcW w:w="49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7 - Transferencias de capital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3.071.620,06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6.974.747,72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227,07 %</w:t>
            </w:r>
          </w:p>
        </w:tc>
      </w:tr>
      <w:tr>
        <w:trPr>
          <w:trHeight w:val="300" w:hRule="atLeast"/>
        </w:trPr>
        <w:tc>
          <w:tcPr>
            <w:tcW w:w="49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8 - Activos financieros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12.015.481,26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0 %</w:t>
            </w:r>
          </w:p>
        </w:tc>
      </w:tr>
      <w:tr>
        <w:trPr>
          <w:trHeight w:val="834" w:hRule="atLeast"/>
        </w:trPr>
        <w:tc>
          <w:tcPr>
            <w:tcW w:w="4900" w:type="dxa"/>
            <w:tcBorders>
              <w:top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47.393.628,50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42.957.689,15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90,64 %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pict>
          <v:group style="position:absolute;margin-left:79pt;margin-top:15.001953pt;width:227pt;height:232pt;mso-position-horizontal-relative:page;mso-position-vertical-relative:paragraph;z-index:-251658240;mso-wrap-distance-left:0;mso-wrap-distance-right:0" coordorigin="1580,300" coordsize="4540,4640">
            <v:shape style="position:absolute;left:1600;top:320;width:4500;height:4600" type="#_x0000_t75" stroked="false">
              <v:imagedata r:id="rId5" o:title=""/>
            </v:shape>
            <v:rect style="position:absolute;left:1590;top:310;width:4520;height:4620" filled="false" stroked="true" strokeweight="1pt" strokecolor="#000000">
              <v:stroke dashstyle="solid"/>
            </v:rect>
            <w10:wrap type="topAndBottom"/>
          </v:group>
        </w:pict>
      </w:r>
      <w:r>
        <w:rPr/>
        <w:pict>
          <v:group style="position:absolute;margin-left:314pt;margin-top:15.001953pt;width:227pt;height:232pt;mso-position-horizontal-relative:page;mso-position-vertical-relative:paragraph;z-index:-251657216;mso-wrap-distance-left:0;mso-wrap-distance-right:0" coordorigin="6280,300" coordsize="4540,4640">
            <v:shape style="position:absolute;left:6300;top:320;width:4500;height:4600" type="#_x0000_t75" stroked="false">
              <v:imagedata r:id="rId6" o:title=""/>
            </v:shape>
            <v:rect style="position:absolute;left:6290;top:310;width:4520;height:4620" filled="false" stroked="true" strokeweight="1pt" strokecolor="#000000">
              <v:stroke dashstyle="solid"/>
            </v:rect>
            <w10:wrap type="topAndBottom"/>
          </v:group>
        </w:pict>
      </w:r>
    </w:p>
    <w:p>
      <w:pPr>
        <w:spacing w:before="124"/>
        <w:ind w:left="5720" w:right="0" w:firstLine="0"/>
        <w:jc w:val="left"/>
        <w:rPr>
          <w:sz w:val="20"/>
        </w:rPr>
      </w:pPr>
      <w:r>
        <w:rPr>
          <w:sz w:val="20"/>
        </w:rPr>
        <w:t>* -&gt; Aporte relativo de cada detalle al valor total del indicador</w:t>
      </w:r>
    </w:p>
    <w:sectPr>
      <w:type w:val="continuous"/>
      <w:pgSz w:w="11900" w:h="16840"/>
      <w:pgMar w:top="1140" w:bottom="280" w:left="4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0"/>
      <w:ind w:right="9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2025-04-02T08:18:55Z</dcterms:created>
  <dcterms:modified xsi:type="dcterms:W3CDTF">2025-04-02T08:18:55Z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2025-04-02T00:00:00Z</vt:filetime>
  </property>
</Properties>
</file>