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6899" w:right="6917" w:firstLine="0"/>
        <w:jc w:val="center"/>
        <w:rPr>
          <w:sz w:val="32"/>
        </w:rPr>
      </w:pPr>
      <w:r>
        <w:rPr>
          <w:sz w:val="32"/>
        </w:rPr>
        <w:t>Ayuntamiento de Tías</w: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200" w:bottom="280" w:left="60" w:right="80"/>
        </w:sectPr>
      </w:pPr>
    </w:p>
    <w:p>
      <w:pPr>
        <w:spacing w:line="218" w:lineRule="exact" w:before="92"/>
        <w:ind w:left="5439" w:right="0" w:firstLine="0"/>
        <w:jc w:val="center"/>
        <w:rPr>
          <w:sz w:val="20"/>
        </w:rPr>
      </w:pPr>
      <w:r>
        <w:rPr>
          <w:spacing w:val="-9"/>
          <w:sz w:val="20"/>
        </w:rPr>
        <w:t>AVANCE </w:t>
      </w:r>
      <w:r>
        <w:rPr>
          <w:sz w:val="20"/>
        </w:rPr>
        <w:t>DE LA LIQUIDACION DEL PRESUPUESTO </w:t>
      </w:r>
      <w:r>
        <w:rPr>
          <w:spacing w:val="-3"/>
          <w:sz w:val="20"/>
        </w:rPr>
        <w:t>CORRIENTE</w:t>
      </w:r>
    </w:p>
    <w:p>
      <w:pPr>
        <w:pStyle w:val="BodyText"/>
        <w:spacing w:line="172" w:lineRule="exact"/>
        <w:ind w:left="5438"/>
        <w:jc w:val="center"/>
      </w:pPr>
      <w:r>
        <w:rPr/>
        <w:t>Hasta 11/04/2025</w:t>
      </w:r>
    </w:p>
    <w:p>
      <w:pPr>
        <w:pStyle w:val="BodyText"/>
        <w:spacing w:before="16"/>
        <w:ind w:left="5438"/>
        <w:jc w:val="center"/>
      </w:pPr>
      <w:r>
        <w:rPr/>
        <w:t>EJECUCION DEL PRESUPUESTO</w:t>
      </w:r>
    </w:p>
    <w:p>
      <w:pPr>
        <w:pStyle w:val="BodyText"/>
        <w:spacing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right="758"/>
        <w:jc w:val="right"/>
      </w:pPr>
      <w:r>
        <w:rPr/>
        <w:t>Folio Núm. 1</w:t>
      </w:r>
    </w:p>
    <w:p>
      <w:pPr>
        <w:spacing w:after="0"/>
        <w:jc w:val="right"/>
        <w:sectPr>
          <w:type w:val="continuous"/>
          <w:pgSz w:w="16840" w:h="11900" w:orient="landscape"/>
          <w:pgMar w:top="200" w:bottom="280" w:left="60" w:right="80"/>
          <w:cols w:num="2" w:equalWidth="0">
            <w:col w:w="11242" w:space="40"/>
            <w:col w:w="5418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pStyle w:val="BodyText"/>
        <w:spacing w:before="94"/>
        <w:ind w:left="6899" w:right="6916"/>
        <w:jc w:val="center"/>
      </w:pPr>
      <w:r>
        <w:rPr/>
        <w:t>ESTADO DE INGRESOS</w:t>
      </w: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3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20"/>
      </w:tblGrid>
      <w:tr>
        <w:trPr>
          <w:trHeight w:val="487" w:hRule="atLeast"/>
        </w:trPr>
        <w:tc>
          <w:tcPr>
            <w:tcW w:w="2820" w:type="dxa"/>
            <w:vMerge w:val="restart"/>
            <w:tcBorders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957" w:right="910"/>
              <w:jc w:val="center"/>
              <w:rPr>
                <w:sz w:val="16"/>
              </w:rPr>
            </w:pPr>
            <w:r>
              <w:rPr>
                <w:sz w:val="16"/>
              </w:rPr>
              <w:t>CAPITULOS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218" w:right="40" w:hanging="121"/>
              <w:jc w:val="left"/>
              <w:rPr>
                <w:sz w:val="16"/>
              </w:rPr>
            </w:pPr>
            <w:r>
              <w:rPr>
                <w:sz w:val="16"/>
              </w:rPr>
              <w:t>PREVISIONES INICIALES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22" w:right="-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MODIFICACION </w:t>
            </w:r>
            <w:r>
              <w:rPr>
                <w:sz w:val="16"/>
              </w:rPr>
              <w:t>DE       PREVISIONES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123" w:right="39" w:hanging="25"/>
              <w:jc w:val="left"/>
              <w:rPr>
                <w:sz w:val="16"/>
              </w:rPr>
            </w:pPr>
            <w:r>
              <w:rPr>
                <w:sz w:val="16"/>
              </w:rPr>
              <w:t>PREVISIONES DEFINITIVAS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41" w:right="0" w:hanging="1"/>
              <w:jc w:val="center"/>
              <w:rPr>
                <w:sz w:val="16"/>
              </w:rPr>
            </w:pPr>
            <w:r>
              <w:rPr>
                <w:sz w:val="16"/>
              </w:rPr>
              <w:t>DERECHOS RECONOCIDOS NETOS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95"/>
              <w:ind w:left="51"/>
              <w:jc w:val="center"/>
              <w:rPr>
                <w:sz w:val="14"/>
              </w:rPr>
            </w:pPr>
            <w:r>
              <w:rPr>
                <w:sz w:val="14"/>
              </w:rPr>
              <w:t>PORCENTAJE DE LOS DERECHOS SOBRE LAS PREVISIONES DEFINITIVAS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170" w:right="110" w:firstLine="17"/>
              <w:jc w:val="left"/>
              <w:rPr>
                <w:sz w:val="16"/>
              </w:rPr>
            </w:pPr>
            <w:r>
              <w:rPr>
                <w:sz w:val="16"/>
              </w:rPr>
              <w:t>DERECHOS ANULADOS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280" w:right="-15" w:hanging="243"/>
              <w:jc w:val="left"/>
              <w:rPr>
                <w:sz w:val="16"/>
              </w:rPr>
            </w:pPr>
            <w:r>
              <w:rPr>
                <w:spacing w:val="-3"/>
                <w:sz w:val="16"/>
              </w:rPr>
              <w:t>RECAUDACION </w:t>
            </w:r>
            <w:r>
              <w:rPr>
                <w:sz w:val="16"/>
              </w:rPr>
              <w:t>LIQUIDA</w:t>
            </w:r>
          </w:p>
        </w:tc>
        <w:tc>
          <w:tcPr>
            <w:tcW w:w="24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75"/>
              <w:ind w:left="638" w:right="0" w:hanging="177"/>
              <w:jc w:val="left"/>
              <w:rPr>
                <w:sz w:val="16"/>
              </w:rPr>
            </w:pPr>
            <w:r>
              <w:rPr>
                <w:sz w:val="16"/>
              </w:rPr>
              <w:t>PORCENTAJE DE LA RECAUDACION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72" w:right="12" w:firstLine="115"/>
              <w:jc w:val="left"/>
              <w:rPr>
                <w:sz w:val="16"/>
              </w:rPr>
            </w:pPr>
            <w:r>
              <w:rPr>
                <w:sz w:val="16"/>
              </w:rPr>
              <w:t>DERECHOS CANCELADOS</w:t>
            </w:r>
          </w:p>
        </w:tc>
        <w:tc>
          <w:tcPr>
            <w:tcW w:w="1220" w:type="dxa"/>
            <w:vMerge w:val="restart"/>
            <w:tcBorders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08" w:lineRule="auto" w:before="0"/>
              <w:ind w:left="125" w:right="91"/>
              <w:jc w:val="center"/>
              <w:rPr>
                <w:sz w:val="16"/>
              </w:rPr>
            </w:pPr>
            <w:r>
              <w:rPr>
                <w:sz w:val="16"/>
              </w:rPr>
              <w:t>DERECHOS PENDIENTES DE COBRO</w:t>
            </w:r>
          </w:p>
        </w:tc>
      </w:tr>
      <w:tr>
        <w:trPr>
          <w:trHeight w:val="480" w:hRule="atLeast"/>
        </w:trPr>
        <w:tc>
          <w:tcPr>
            <w:tcW w:w="2820" w:type="dxa"/>
            <w:vMerge/>
            <w:tcBorders>
              <w:top w:val="nil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68"/>
              <w:ind w:left="226" w:right="167" w:firstLine="61"/>
              <w:jc w:val="left"/>
              <w:rPr>
                <w:sz w:val="12"/>
              </w:rPr>
            </w:pPr>
            <w:r>
              <w:rPr>
                <w:sz w:val="12"/>
              </w:rPr>
              <w:t>SOBRE LAS PREVISIONES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08" w:lineRule="auto" w:before="68"/>
              <w:ind w:left="183" w:right="141" w:hanging="1"/>
              <w:jc w:val="center"/>
              <w:rPr>
                <w:sz w:val="12"/>
              </w:rPr>
            </w:pPr>
            <w:r>
              <w:rPr>
                <w:sz w:val="12"/>
              </w:rPr>
              <w:t>SOBRE LOS DERECHOS RECONOCIDOS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28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1.- Impuestos directos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9.435.005,91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9.435.005,91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513.930,70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5,45 %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39.251,95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369.125,93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3,91 %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71,82 %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right="15"/>
              <w:rPr>
                <w:sz w:val="16"/>
              </w:rPr>
            </w:pPr>
            <w:r>
              <w:rPr>
                <w:sz w:val="16"/>
              </w:rPr>
              <w:t>144.804,77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2.- Impuestos Indirectos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6.008.477,34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6.008.477,34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5.433,90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4.072,30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5.433,90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3.- Tasas y otros ingresos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3.444.451,63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3.444.451,63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142.218,92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4,13 %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16.742,07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95.841,73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2,78 %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67,39 %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46.377,19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4.- Transferencias corrientes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9.819.351,31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240.774,58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10.060.125,89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990.434,15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9,85 %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31.225,70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990.434,15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10,09 %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5.- Ingresos Patrimoniales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188.000,00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188.000,00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164.962,87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87,75 %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164.962,87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87,75 %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6.- Enajenacion de inversiones reales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7.- Transferencias de Capital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992.921,00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992.921,00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8.- Activos Financieros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7.788.752,55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7.918.752,55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15" w:hRule="atLeast"/>
        </w:trPr>
        <w:tc>
          <w:tcPr>
            <w:tcW w:w="28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9.- Pasivos Financieros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87" w:hRule="atLeast"/>
        </w:trPr>
        <w:tc>
          <w:tcPr>
            <w:tcW w:w="28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left="1573" w:right="0"/>
              <w:jc w:val="left"/>
              <w:rPr>
                <w:sz w:val="16"/>
              </w:rPr>
            </w:pPr>
            <w:r>
              <w:rPr>
                <w:sz w:val="16"/>
              </w:rPr>
              <w:t>SUMA TOTAL: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29.025.286,19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9.022.448,13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38.047.734,32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1.816.980,54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4,78 %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91.292,02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1.625.798,58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5,60 %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89,48 %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right="15"/>
              <w:rPr>
                <w:sz w:val="16"/>
              </w:rPr>
            </w:pPr>
            <w:r>
              <w:rPr>
                <w:sz w:val="16"/>
              </w:rPr>
              <w:t>191.181,96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131"/>
        <w:ind w:left="6899" w:right="6916"/>
        <w:jc w:val="center"/>
      </w:pPr>
      <w:r>
        <w:rPr/>
        <w:t>ESTADO DE GASTOS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0"/>
        <w:gridCol w:w="1100"/>
        <w:gridCol w:w="1000"/>
        <w:gridCol w:w="1000"/>
        <w:gridCol w:w="1200"/>
        <w:gridCol w:w="1200"/>
        <w:gridCol w:w="800"/>
        <w:gridCol w:w="1200"/>
        <w:gridCol w:w="800"/>
        <w:gridCol w:w="1200"/>
        <w:gridCol w:w="800"/>
        <w:gridCol w:w="800"/>
        <w:gridCol w:w="1200"/>
        <w:gridCol w:w="1220"/>
      </w:tblGrid>
      <w:tr>
        <w:trPr>
          <w:trHeight w:val="587" w:hRule="atLeast"/>
        </w:trPr>
        <w:tc>
          <w:tcPr>
            <w:tcW w:w="2920" w:type="dxa"/>
            <w:vMerge w:val="restart"/>
            <w:tcBorders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1007" w:right="960"/>
              <w:jc w:val="center"/>
              <w:rPr>
                <w:sz w:val="16"/>
              </w:rPr>
            </w:pPr>
            <w:r>
              <w:rPr>
                <w:sz w:val="16"/>
              </w:rPr>
              <w:t>CAPITULOS</w:t>
            </w:r>
          </w:p>
        </w:tc>
        <w:tc>
          <w:tcPr>
            <w:tcW w:w="11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68" w:right="108" w:firstLine="1"/>
              <w:jc w:val="left"/>
              <w:rPr>
                <w:sz w:val="16"/>
              </w:rPr>
            </w:pPr>
            <w:r>
              <w:rPr>
                <w:sz w:val="16"/>
              </w:rPr>
              <w:t>CREDITOS INICIALES</w:t>
            </w:r>
          </w:p>
        </w:tc>
        <w:tc>
          <w:tcPr>
            <w:tcW w:w="20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534" w:right="0" w:hanging="206"/>
              <w:jc w:val="left"/>
              <w:rPr>
                <w:sz w:val="16"/>
              </w:rPr>
            </w:pPr>
            <w:r>
              <w:rPr>
                <w:sz w:val="16"/>
              </w:rPr>
              <w:t>MODIFICACIONES APROBADAS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15" w:right="-15" w:firstLine="104"/>
              <w:jc w:val="left"/>
              <w:rPr>
                <w:sz w:val="16"/>
              </w:rPr>
            </w:pPr>
            <w:r>
              <w:rPr>
                <w:sz w:val="16"/>
              </w:rPr>
              <w:t>CREDITOS DEFINITIVOS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92" w:right="14" w:firstLine="207"/>
              <w:jc w:val="left"/>
              <w:rPr>
                <w:sz w:val="16"/>
              </w:rPr>
            </w:pPr>
            <w:r>
              <w:rPr>
                <w:sz w:val="16"/>
              </w:rPr>
              <w:t>GASTOS COMPROMET.</w:t>
            </w:r>
          </w:p>
        </w:tc>
        <w:tc>
          <w:tcPr>
            <w:tcW w:w="8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37" w:right="-15" w:hanging="1"/>
              <w:jc w:val="center"/>
              <w:rPr>
                <w:sz w:val="14"/>
              </w:rPr>
            </w:pPr>
            <w:r>
              <w:rPr>
                <w:sz w:val="14"/>
              </w:rPr>
              <w:t>PORCENT. DE GAST. COMPROM. SOBRE CREDIT. DEFINIT.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2" w:right="-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OBLIGACIONES </w:t>
            </w:r>
            <w:r>
              <w:rPr>
                <w:sz w:val="16"/>
              </w:rPr>
              <w:t>RECONOCIDAS </w:t>
            </w:r>
            <w:r>
              <w:rPr>
                <w:spacing w:val="-3"/>
                <w:sz w:val="16"/>
              </w:rPr>
              <w:t>NETAS</w:t>
            </w:r>
          </w:p>
        </w:tc>
        <w:tc>
          <w:tcPr>
            <w:tcW w:w="8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58" w:right="16"/>
              <w:jc w:val="center"/>
              <w:rPr>
                <w:sz w:val="14"/>
              </w:rPr>
            </w:pPr>
            <w:r>
              <w:rPr>
                <w:sz w:val="14"/>
              </w:rPr>
              <w:t>PORCENT. DE LAS OBLIG. RECON. SOBRE CREDIT. DEFINIT.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33" w:right="171" w:firstLine="125"/>
              <w:jc w:val="left"/>
              <w:rPr>
                <w:sz w:val="16"/>
              </w:rPr>
            </w:pPr>
            <w:r>
              <w:rPr>
                <w:sz w:val="16"/>
              </w:rPr>
              <w:t>PAGOS LIQUIDOS</w:t>
            </w:r>
          </w:p>
        </w:tc>
        <w:tc>
          <w:tcPr>
            <w:tcW w:w="16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08" w:lineRule="auto" w:before="0"/>
              <w:ind w:left="161" w:right="-43" w:hanging="144"/>
              <w:jc w:val="left"/>
              <w:rPr>
                <w:sz w:val="16"/>
              </w:rPr>
            </w:pPr>
            <w:r>
              <w:rPr>
                <w:sz w:val="16"/>
              </w:rPr>
              <w:t>PORCENTAJE DE </w:t>
            </w:r>
            <w:r>
              <w:rPr>
                <w:spacing w:val="-5"/>
                <w:sz w:val="16"/>
              </w:rPr>
              <w:t>LOS PAGOS</w:t>
            </w:r>
            <w:r>
              <w:rPr>
                <w:sz w:val="16"/>
              </w:rPr>
              <w:t> LIQUIDOS</w:t>
            </w:r>
          </w:p>
        </w:tc>
        <w:tc>
          <w:tcPr>
            <w:tcW w:w="1200" w:type="dxa"/>
            <w:vMerge w:val="restart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2" w:right="-2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OBLIGACIONES </w:t>
            </w:r>
            <w:r>
              <w:rPr>
                <w:sz w:val="16"/>
              </w:rPr>
              <w:t>PENDIENTES DE </w:t>
            </w:r>
            <w:r>
              <w:rPr>
                <w:spacing w:val="-6"/>
                <w:sz w:val="16"/>
              </w:rPr>
              <w:t>PAGO</w:t>
            </w:r>
          </w:p>
        </w:tc>
        <w:tc>
          <w:tcPr>
            <w:tcW w:w="1220" w:type="dxa"/>
            <w:vMerge w:val="restart"/>
            <w:tcBorders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38" w:right="64" w:hanging="22"/>
              <w:jc w:val="left"/>
              <w:rPr>
                <w:sz w:val="16"/>
              </w:rPr>
            </w:pPr>
            <w:r>
              <w:rPr>
                <w:sz w:val="16"/>
              </w:rPr>
              <w:t>REMANENTE DE CREDITO</w:t>
            </w:r>
          </w:p>
        </w:tc>
      </w:tr>
      <w:tr>
        <w:trPr>
          <w:trHeight w:val="780" w:hRule="atLeast"/>
        </w:trPr>
        <w:tc>
          <w:tcPr>
            <w:tcW w:w="2920" w:type="dxa"/>
            <w:vMerge/>
            <w:tcBorders>
              <w:top w:val="nil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11" w:right="-38" w:firstLine="381"/>
              <w:jc w:val="left"/>
              <w:rPr>
                <w:sz w:val="12"/>
              </w:rPr>
            </w:pPr>
            <w:r>
              <w:rPr>
                <w:sz w:val="12"/>
              </w:rPr>
              <w:t>POR INCORPORACION DE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REMANENTES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74" w:right="32" w:hanging="1"/>
              <w:jc w:val="center"/>
              <w:rPr>
                <w:sz w:val="12"/>
              </w:rPr>
            </w:pPr>
            <w:r>
              <w:rPr>
                <w:sz w:val="12"/>
              </w:rPr>
              <w:t>POR LAS RESTANTES </w:t>
            </w:r>
            <w:r>
              <w:rPr>
                <w:spacing w:val="-1"/>
                <w:sz w:val="12"/>
              </w:rPr>
              <w:t>MODALIDADES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39" w:right="-15" w:hanging="1"/>
              <w:jc w:val="center"/>
              <w:rPr>
                <w:sz w:val="12"/>
              </w:rPr>
            </w:pPr>
            <w:r>
              <w:rPr>
                <w:sz w:val="12"/>
              </w:rPr>
              <w:t>SOBRE CREDITOS DEFINITIVOS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08" w:lineRule="auto" w:before="0"/>
              <w:ind w:left="24" w:right="-29" w:hanging="1"/>
              <w:jc w:val="center"/>
              <w:rPr>
                <w:sz w:val="12"/>
              </w:rPr>
            </w:pPr>
            <w:r>
              <w:rPr>
                <w:sz w:val="12"/>
              </w:rPr>
              <w:t>SOBRE OBLIGACION. RECONOC.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29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1.- Gastos de personal</w:t>
            </w:r>
          </w:p>
        </w:tc>
        <w:tc>
          <w:tcPr>
            <w:tcW w:w="11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12.125.777,49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200.189,32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46.141,23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12.372.108,04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2.117.512,11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17,12 %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2.117.512,11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17,12 %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2.116.027,21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17,10 %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99,93 %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1.484,90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right="15"/>
              <w:rPr>
                <w:sz w:val="16"/>
              </w:rPr>
            </w:pPr>
            <w:r>
              <w:rPr>
                <w:sz w:val="16"/>
              </w:rPr>
              <w:t>10.254.595,93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2.- Gastos en bienes corrientes y servicios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14.013.371,79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15.791,91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42.816,35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14.071.980,05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10.171.626,72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72,28 %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3.643.402,64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25,89 %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2.829.638,17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20,11 %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77,66 %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813.764,47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10.428.577,41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3.- Gastos financieros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874,76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5,83 %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874,76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5,83 %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874,76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5,83 %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14.125,24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4.- Transferencias corrientes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2.651.136,91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151.817,00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2.802.953,91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278.439,89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9,93 %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260.084,45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9,28 %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222.770,87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7,95 %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85,65 %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37.313,58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2.542.869,46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6.- Inversiones Reales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8.325.388,52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992.921,00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9.408.309,52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5.474.455,38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58,19 %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597.531,32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6,35 %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581.534,60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6,18 %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97,32 %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15.996,72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8.810.778,20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7.- Transferencias de capital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29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8.- Activos financieros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0,00 %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15"/>
              <w:rPr>
                <w:sz w:val="16"/>
              </w:rPr>
            </w:pPr>
            <w:r>
              <w:rPr>
                <w:sz w:val="16"/>
              </w:rPr>
              <w:t>130.000,00</w:t>
            </w:r>
          </w:p>
        </w:tc>
      </w:tr>
      <w:tr>
        <w:trPr>
          <w:trHeight w:val="415" w:hRule="atLeast"/>
        </w:trPr>
        <w:tc>
          <w:tcPr>
            <w:tcW w:w="29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ind w:left="117" w:right="0"/>
              <w:jc w:val="left"/>
              <w:rPr>
                <w:sz w:val="16"/>
              </w:rPr>
            </w:pPr>
            <w:r>
              <w:rPr>
                <w:sz w:val="16"/>
              </w:rPr>
              <w:t>9.- Pasivos financieros</w:t>
            </w:r>
          </w:p>
        </w:tc>
        <w:tc>
          <w:tcPr>
            <w:tcW w:w="11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240" w:lineRule="auto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87" w:hRule="atLeast"/>
        </w:trPr>
        <w:tc>
          <w:tcPr>
            <w:tcW w:w="29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left="1673" w:right="0"/>
              <w:jc w:val="left"/>
              <w:rPr>
                <w:sz w:val="16"/>
              </w:rPr>
            </w:pPr>
            <w:r>
              <w:rPr>
                <w:sz w:val="16"/>
              </w:rPr>
              <w:t>SUMA TOTAL:</w:t>
            </w:r>
          </w:p>
        </w:tc>
        <w:tc>
          <w:tcPr>
            <w:tcW w:w="11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29.025.286,19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8.541.369,75</w:t>
            </w:r>
          </w:p>
        </w:tc>
        <w:tc>
          <w:tcPr>
            <w:tcW w:w="10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1.233.695,58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38.800.351,52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18.042.908,86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46,50%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6.619.405,28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17,06 %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5.750.845,61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14,82 %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86,88 %</w:t>
            </w:r>
          </w:p>
        </w:tc>
        <w:tc>
          <w:tcPr>
            <w:tcW w:w="12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 w:before="68"/>
              <w:rPr>
                <w:sz w:val="16"/>
              </w:rPr>
            </w:pPr>
            <w:r>
              <w:rPr>
                <w:sz w:val="16"/>
              </w:rPr>
              <w:t>868.559,67</w:t>
            </w:r>
          </w:p>
        </w:tc>
        <w:tc>
          <w:tcPr>
            <w:tcW w:w="122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line="240" w:lineRule="auto" w:before="68"/>
              <w:ind w:right="15"/>
              <w:rPr>
                <w:sz w:val="16"/>
              </w:rPr>
            </w:pPr>
            <w:r>
              <w:rPr>
                <w:sz w:val="16"/>
              </w:rPr>
              <w:t>32.180.946,24</w:t>
            </w:r>
          </w:p>
        </w:tc>
      </w:tr>
    </w:tbl>
    <w:p>
      <w:pPr>
        <w:pStyle w:val="BodyText"/>
        <w:spacing w:before="138"/>
        <w:ind w:right="157"/>
        <w:jc w:val="right"/>
      </w:pPr>
      <w:r>
        <w:rPr/>
        <w:t>O370</w:t>
      </w:r>
    </w:p>
    <w:sectPr>
      <w:type w:val="continuous"/>
      <w:pgSz w:w="16840" w:h="11900" w:orient="landscape"/>
      <w:pgMar w:top="200" w:bottom="280" w:left="6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" w:line="175" w:lineRule="exact"/>
      <w:ind w:right="9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2025-04-14T07:37:12Z</dcterms:created>
  <dcterms:modified xsi:type="dcterms:W3CDTF">2025-04-14T07:37:12Z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2025-04-14T00:00:00Z</vt:filetime>
  </property>
</Properties>
</file>