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
        <w:rPr>
          <w:rFonts w:ascii="Times New Roman"/>
        </w:rPr>
      </w:pPr>
    </w:p>
    <w:p>
      <w:pPr>
        <w:spacing w:before="107"/>
        <w:ind w:left="200" w:right="0" w:firstLine="0"/>
        <w:jc w:val="left"/>
        <w:rPr>
          <w:rFonts w:ascii="Courier New" w:hAnsi="Courier New"/>
          <w:sz w:val="15"/>
        </w:rPr>
      </w:pPr>
      <w:r>
        <w:rPr>
          <w:rFonts w:ascii="Courier New" w:hAnsi="Courier New"/>
          <w:w w:val="105"/>
          <w:sz w:val="15"/>
        </w:rPr>
        <w:t>Decreto número: ALC/2024/520 de fecha 21/06/2024</w:t>
      </w:r>
    </w:p>
    <w:p>
      <w:pPr>
        <w:pStyle w:val="BodyText"/>
        <w:spacing w:before="5"/>
        <w:rPr>
          <w:rFonts w:ascii="Courier New"/>
          <w:sz w:val="28"/>
        </w:rPr>
      </w:pPr>
    </w:p>
    <w:p>
      <w:pPr>
        <w:spacing w:before="93"/>
        <w:ind w:left="3318" w:right="3292" w:firstLine="0"/>
        <w:jc w:val="center"/>
        <w:rPr>
          <w:b/>
          <w:sz w:val="22"/>
        </w:rPr>
      </w:pPr>
      <w:r>
        <w:rPr>
          <w:b/>
          <w:sz w:val="22"/>
        </w:rPr>
        <w:t>ANTECEDENTES</w:t>
      </w:r>
    </w:p>
    <w:p>
      <w:pPr>
        <w:pStyle w:val="BodyText"/>
        <w:spacing w:line="360" w:lineRule="auto" w:before="60"/>
        <w:ind w:left="137" w:right="108" w:firstLine="183"/>
        <w:jc w:val="both"/>
        <w:rPr>
          <w:b/>
          <w:i/>
        </w:rPr>
      </w:pPr>
      <w:r>
        <w:rPr/>
        <w:t>VISTAS la necesidad de incrementar la partida </w:t>
      </w:r>
      <w:r>
        <w:rPr>
          <w:b/>
        </w:rPr>
        <w:t>338 22699 </w:t>
      </w:r>
      <w:r>
        <w:rPr/>
        <w:t>denominada </w:t>
      </w:r>
      <w:r>
        <w:rPr>
          <w:b/>
        </w:rPr>
        <w:t>FESTEJOS </w:t>
      </w:r>
      <w:r>
        <w:rPr/>
        <w:t>y con motivo de las Fiestas del Carnaval 2024 y las Fiestas del Carmen 2024 para la instalación de puestos, chiringuitos, etc…,</w:t>
      </w:r>
      <w:r>
        <w:rPr>
          <w:b/>
        </w:rPr>
        <w:t>33920 “Puestos, Barracas y casetas” </w:t>
      </w:r>
      <w:r>
        <w:rPr/>
        <w:t>se ha llevado a cabo una subasta de los distintos puestos, por la cual han ingresado un total de </w:t>
      </w:r>
      <w:r>
        <w:rPr>
          <w:b/>
        </w:rPr>
        <w:t>34.380 </w:t>
      </w:r>
      <w:r>
        <w:rPr>
          <w:b/>
          <w:i/>
        </w:rPr>
        <w:t>€.</w:t>
      </w:r>
    </w:p>
    <w:p>
      <w:pPr>
        <w:pStyle w:val="BodyText"/>
        <w:rPr>
          <w:b/>
          <w:i/>
        </w:rPr>
      </w:pPr>
    </w:p>
    <w:p>
      <w:pPr>
        <w:pStyle w:val="BodyText"/>
        <w:rPr>
          <w:b/>
          <w:i/>
        </w:rPr>
      </w:pPr>
    </w:p>
    <w:p>
      <w:pPr>
        <w:pStyle w:val="BodyText"/>
        <w:rPr>
          <w:b/>
          <w:i/>
        </w:rPr>
      </w:pPr>
    </w:p>
    <w:p>
      <w:pPr>
        <w:spacing w:before="194"/>
        <w:ind w:left="3319" w:right="3292" w:firstLine="0"/>
        <w:jc w:val="center"/>
        <w:rPr>
          <w:b/>
          <w:sz w:val="22"/>
        </w:rPr>
      </w:pPr>
      <w:r>
        <w:rPr>
          <w:b/>
          <w:sz w:val="22"/>
        </w:rPr>
        <w:t>FUNDAMENTOS DE DERECHO</w:t>
      </w:r>
    </w:p>
    <w:p>
      <w:pPr>
        <w:spacing w:line="240" w:lineRule="auto" w:before="2"/>
        <w:rPr>
          <w:b/>
          <w:sz w:val="27"/>
        </w:rPr>
      </w:pPr>
    </w:p>
    <w:p>
      <w:pPr>
        <w:pStyle w:val="BodyText"/>
        <w:spacing w:line="360" w:lineRule="auto"/>
        <w:ind w:left="137" w:right="108" w:firstLine="427"/>
        <w:jc w:val="both"/>
        <w:rPr>
          <w:sz w:val="22"/>
        </w:rPr>
      </w:pPr>
      <w:r>
        <w:rPr/>
        <w:t>De acuerdo con el artículo 178 del TRLRHL 2/2004 donde se señala: “No obstante lo dispuesto en el apartado 2 del artículo 172 de esta ley tendrán la condición de ampliables aquellos créditos que de modo taxativo y debidamente explicitados se relacionen en las bases de ejecución del presupuesto, y, en su virtud, podrá ser incrementada su cuantía, previo cumplimiento de los requisitos exigidos por vía reglamentaria, en función de la efectividad de los recursos afectados</w:t>
      </w:r>
      <w:r>
        <w:rPr>
          <w:sz w:val="22"/>
        </w:rPr>
        <w:t>”</w:t>
      </w:r>
    </w:p>
    <w:p>
      <w:pPr>
        <w:pStyle w:val="BodyText"/>
      </w:pPr>
    </w:p>
    <w:p>
      <w:pPr>
        <w:pStyle w:val="BodyText"/>
      </w:pPr>
    </w:p>
    <w:p>
      <w:pPr>
        <w:spacing w:before="167"/>
        <w:ind w:left="137" w:right="0" w:firstLine="0"/>
        <w:jc w:val="left"/>
        <w:rPr>
          <w:sz w:val="20"/>
        </w:rPr>
      </w:pPr>
      <w:r>
        <w:rPr>
          <w:sz w:val="20"/>
        </w:rPr>
        <w:t>En virtud de las atribuciones que me confieren la Ley 7/1985, de 2 de abril, Reguladora de las Bases del Régimen Local y la Ley 7/2015, de 1 de abril, de los municipios de Canarias.</w:t>
      </w:r>
    </w:p>
    <w:p>
      <w:pPr>
        <w:spacing w:line="240" w:lineRule="auto" w:before="10"/>
        <w:rPr>
          <w:sz w:val="20"/>
        </w:rPr>
      </w:pPr>
    </w:p>
    <w:p>
      <w:pPr>
        <w:spacing w:before="0"/>
        <w:ind w:left="3318" w:right="3292" w:firstLine="0"/>
        <w:jc w:val="center"/>
        <w:rPr>
          <w:b/>
          <w:sz w:val="22"/>
        </w:rPr>
      </w:pPr>
      <w:r>
        <w:rPr>
          <w:b/>
          <w:sz w:val="22"/>
        </w:rPr>
        <w:t>RESUELVO:</w:t>
      </w:r>
    </w:p>
    <w:p>
      <w:pPr>
        <w:spacing w:line="360" w:lineRule="auto" w:before="60"/>
        <w:ind w:left="137" w:right="109" w:firstLine="183"/>
        <w:jc w:val="both"/>
        <w:rPr>
          <w:sz w:val="22"/>
        </w:rPr>
      </w:pPr>
      <w:r>
        <w:rPr>
          <w:b/>
          <w:sz w:val="22"/>
        </w:rPr>
        <w:t>Primero: </w:t>
      </w:r>
      <w:r>
        <w:rPr>
          <w:sz w:val="22"/>
        </w:rPr>
        <w:t>Aprobar el expediente de modificación de créditos </w:t>
      </w:r>
      <w:r>
        <w:rPr>
          <w:b/>
          <w:sz w:val="22"/>
        </w:rPr>
        <w:t>nº 20/2024</w:t>
      </w:r>
      <w:r>
        <w:rPr>
          <w:sz w:val="22"/>
        </w:rPr>
        <w:t>, en la forma que se indica:</w:t>
      </w:r>
    </w:p>
    <w:p>
      <w:pPr>
        <w:spacing w:line="240" w:lineRule="auto" w:before="11"/>
        <w:rPr>
          <w:sz w:val="21"/>
        </w:rPr>
      </w:pPr>
    </w:p>
    <w:p>
      <w:pPr>
        <w:pStyle w:val="Heading1"/>
        <w:rPr>
          <w:i/>
        </w:rPr>
      </w:pPr>
      <w:r>
        <w:rPr>
          <w:i/>
        </w:rPr>
        <w:t>CRÉDITO QUE EXPERIMENTAN DISMINUCIÓN:</w:t>
      </w:r>
    </w:p>
    <w:p>
      <w:pPr>
        <w:pStyle w:val="BodyText"/>
        <w:spacing w:before="5"/>
        <w:rPr>
          <w:b/>
          <w:i/>
          <w:sz w:val="28"/>
        </w:rPr>
      </w:pPr>
    </w:p>
    <w:tbl>
      <w:tblPr>
        <w:tblW w:w="0" w:type="auto"/>
        <w:jc w:val="left"/>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0"/>
        <w:gridCol w:w="5222"/>
        <w:gridCol w:w="1417"/>
      </w:tblGrid>
      <w:tr>
        <w:trPr>
          <w:trHeight w:val="536" w:hRule="atLeast"/>
        </w:trPr>
        <w:tc>
          <w:tcPr>
            <w:tcW w:w="1880" w:type="dxa"/>
          </w:tcPr>
          <w:p>
            <w:pPr>
              <w:pStyle w:val="TableParagraph"/>
              <w:ind w:left="615" w:right="606"/>
              <w:jc w:val="center"/>
              <w:rPr>
                <w:sz w:val="24"/>
              </w:rPr>
            </w:pPr>
            <w:r>
              <w:rPr>
                <w:sz w:val="24"/>
              </w:rPr>
              <w:t>33920</w:t>
            </w:r>
          </w:p>
        </w:tc>
        <w:tc>
          <w:tcPr>
            <w:tcW w:w="5222" w:type="dxa"/>
          </w:tcPr>
          <w:p>
            <w:pPr>
              <w:pStyle w:val="TableParagraph"/>
              <w:ind w:left="69"/>
              <w:rPr>
                <w:sz w:val="24"/>
              </w:rPr>
            </w:pPr>
            <w:r>
              <w:rPr>
                <w:sz w:val="24"/>
              </w:rPr>
              <w:t>PUESTOS, BARRACAS Y CASETAS</w:t>
            </w:r>
          </w:p>
        </w:tc>
        <w:tc>
          <w:tcPr>
            <w:tcW w:w="1417" w:type="dxa"/>
          </w:tcPr>
          <w:p>
            <w:pPr>
              <w:pStyle w:val="TableParagraph"/>
              <w:ind w:right="57"/>
              <w:jc w:val="right"/>
              <w:rPr>
                <w:sz w:val="24"/>
              </w:rPr>
            </w:pPr>
            <w:r>
              <w:rPr>
                <w:sz w:val="24"/>
              </w:rPr>
              <w:t>34.380 €</w:t>
            </w:r>
          </w:p>
        </w:tc>
      </w:tr>
      <w:tr>
        <w:trPr>
          <w:trHeight w:val="536" w:hRule="atLeast"/>
        </w:trPr>
        <w:tc>
          <w:tcPr>
            <w:tcW w:w="1880" w:type="dxa"/>
            <w:tcBorders>
              <w:left w:val="nil"/>
              <w:bottom w:val="nil"/>
            </w:tcBorders>
          </w:tcPr>
          <w:p>
            <w:pPr>
              <w:pStyle w:val="TableParagraph"/>
              <w:rPr>
                <w:rFonts w:ascii="Times New Roman"/>
                <w:sz w:val="20"/>
              </w:rPr>
            </w:pPr>
          </w:p>
        </w:tc>
        <w:tc>
          <w:tcPr>
            <w:tcW w:w="5222" w:type="dxa"/>
          </w:tcPr>
          <w:p>
            <w:pPr>
              <w:pStyle w:val="TableParagraph"/>
              <w:ind w:left="3603"/>
              <w:rPr>
                <w:sz w:val="24"/>
              </w:rPr>
            </w:pPr>
            <w:r>
              <w:rPr>
                <w:sz w:val="24"/>
              </w:rPr>
              <w:t>Total……………….</w:t>
            </w:r>
          </w:p>
        </w:tc>
        <w:tc>
          <w:tcPr>
            <w:tcW w:w="1417" w:type="dxa"/>
          </w:tcPr>
          <w:p>
            <w:pPr>
              <w:pStyle w:val="TableParagraph"/>
              <w:ind w:right="57"/>
              <w:jc w:val="right"/>
              <w:rPr>
                <w:sz w:val="24"/>
              </w:rPr>
            </w:pPr>
            <w:r>
              <w:rPr>
                <w:sz w:val="24"/>
              </w:rPr>
              <w:t>34.380 €</w:t>
            </w:r>
          </w:p>
        </w:tc>
      </w:tr>
    </w:tbl>
    <w:p>
      <w:pPr>
        <w:pStyle w:val="BodyText"/>
        <w:rPr>
          <w:b/>
          <w:i/>
        </w:rPr>
      </w:pPr>
    </w:p>
    <w:p>
      <w:pPr>
        <w:pStyle w:val="BodyText"/>
        <w:spacing w:before="4"/>
        <w:rPr>
          <w:b/>
          <w:i/>
          <w:sz w:val="28"/>
        </w:rPr>
      </w:pPr>
    </w:p>
    <w:p>
      <w:pPr>
        <w:spacing w:before="0"/>
        <w:ind w:left="138" w:right="0" w:firstLine="0"/>
        <w:jc w:val="left"/>
        <w:rPr>
          <w:rFonts w:ascii="Carlito" w:hAnsi="Carlito"/>
          <w:b/>
          <w:i/>
          <w:sz w:val="24"/>
        </w:rPr>
      </w:pPr>
      <w:r>
        <w:rPr>
          <w:rFonts w:ascii="Carlito" w:hAnsi="Carlito"/>
          <w:b/>
          <w:i/>
          <w:sz w:val="24"/>
        </w:rPr>
        <w:t>CRÉDITO QUE EXPERIMENTA AUMENTO:</w:t>
      </w:r>
    </w:p>
    <w:p>
      <w:pPr>
        <w:pStyle w:val="BodyText"/>
        <w:spacing w:before="5"/>
        <w:rPr>
          <w:b/>
          <w:i/>
          <w:sz w:val="28"/>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0"/>
        <w:gridCol w:w="5222"/>
        <w:gridCol w:w="1417"/>
      </w:tblGrid>
      <w:tr>
        <w:trPr>
          <w:trHeight w:val="536" w:hRule="atLeast"/>
        </w:trPr>
        <w:tc>
          <w:tcPr>
            <w:tcW w:w="1880" w:type="dxa"/>
          </w:tcPr>
          <w:p>
            <w:pPr>
              <w:pStyle w:val="TableParagraph"/>
              <w:ind w:left="426"/>
              <w:rPr>
                <w:sz w:val="24"/>
              </w:rPr>
            </w:pPr>
            <w:r>
              <w:rPr>
                <w:sz w:val="24"/>
              </w:rPr>
              <w:t>338 22699</w:t>
            </w:r>
          </w:p>
        </w:tc>
        <w:tc>
          <w:tcPr>
            <w:tcW w:w="5222" w:type="dxa"/>
          </w:tcPr>
          <w:p>
            <w:pPr>
              <w:pStyle w:val="TableParagraph"/>
              <w:ind w:left="69"/>
              <w:rPr>
                <w:sz w:val="24"/>
              </w:rPr>
            </w:pPr>
            <w:r>
              <w:rPr>
                <w:sz w:val="24"/>
              </w:rPr>
              <w:t>Festejos</w:t>
            </w:r>
          </w:p>
        </w:tc>
        <w:tc>
          <w:tcPr>
            <w:tcW w:w="1417" w:type="dxa"/>
          </w:tcPr>
          <w:p>
            <w:pPr>
              <w:pStyle w:val="TableParagraph"/>
              <w:ind w:left="502"/>
              <w:rPr>
                <w:sz w:val="24"/>
              </w:rPr>
            </w:pPr>
            <w:r>
              <w:rPr>
                <w:sz w:val="24"/>
              </w:rPr>
              <w:t>34.380 €</w:t>
            </w:r>
          </w:p>
        </w:tc>
      </w:tr>
    </w:tbl>
    <w:p>
      <w:pPr>
        <w:spacing w:after="0"/>
        <w:rPr>
          <w:sz w:val="24"/>
        </w:rPr>
        <w:sectPr>
          <w:headerReference w:type="default" r:id="rId5"/>
          <w:footerReference w:type="default" r:id="rId6"/>
          <w:type w:val="continuous"/>
          <w:pgSz w:w="11910" w:h="16840"/>
          <w:pgMar w:header="326" w:footer="1048" w:top="1660" w:bottom="1240" w:left="1280" w:right="740"/>
          <w:pgNumType w:start="1"/>
        </w:sectPr>
      </w:pPr>
    </w:p>
    <w:p>
      <w:pPr>
        <w:pStyle w:val="BodyText"/>
        <w:spacing w:before="1"/>
        <w:rPr>
          <w:b/>
          <w:i/>
          <w:sz w:val="9"/>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0"/>
        <w:gridCol w:w="5222"/>
        <w:gridCol w:w="1417"/>
      </w:tblGrid>
      <w:tr>
        <w:trPr>
          <w:trHeight w:val="536" w:hRule="atLeast"/>
        </w:trPr>
        <w:tc>
          <w:tcPr>
            <w:tcW w:w="1880" w:type="dxa"/>
            <w:tcBorders>
              <w:left w:val="nil"/>
              <w:bottom w:val="nil"/>
            </w:tcBorders>
          </w:tcPr>
          <w:p>
            <w:pPr>
              <w:pStyle w:val="TableParagraph"/>
              <w:rPr>
                <w:rFonts w:ascii="Times New Roman"/>
                <w:sz w:val="18"/>
              </w:rPr>
            </w:pPr>
          </w:p>
        </w:tc>
        <w:tc>
          <w:tcPr>
            <w:tcW w:w="5222" w:type="dxa"/>
          </w:tcPr>
          <w:p>
            <w:pPr>
              <w:pStyle w:val="TableParagraph"/>
              <w:ind w:left="3603"/>
              <w:rPr>
                <w:sz w:val="24"/>
              </w:rPr>
            </w:pPr>
            <w:r>
              <w:rPr>
                <w:sz w:val="24"/>
              </w:rPr>
              <w:t>Total……………….</w:t>
            </w:r>
          </w:p>
        </w:tc>
        <w:tc>
          <w:tcPr>
            <w:tcW w:w="1417" w:type="dxa"/>
          </w:tcPr>
          <w:p>
            <w:pPr>
              <w:pStyle w:val="TableParagraph"/>
              <w:ind w:left="476"/>
              <w:rPr>
                <w:sz w:val="24"/>
              </w:rPr>
            </w:pPr>
            <w:r>
              <w:rPr>
                <w:sz w:val="24"/>
              </w:rPr>
              <w:t>34.380 €</w:t>
            </w:r>
          </w:p>
        </w:tc>
      </w:tr>
    </w:tbl>
    <w:p>
      <w:pPr>
        <w:pStyle w:val="BodyText"/>
        <w:spacing w:before="1"/>
        <w:rPr>
          <w:b/>
          <w:i/>
          <w:sz w:val="13"/>
        </w:rPr>
      </w:pPr>
    </w:p>
    <w:p>
      <w:pPr>
        <w:spacing w:line="360" w:lineRule="auto" w:before="93"/>
        <w:ind w:left="138" w:right="109" w:firstLine="0"/>
        <w:jc w:val="both"/>
        <w:rPr>
          <w:sz w:val="22"/>
        </w:rPr>
      </w:pPr>
      <w:r>
        <w:rPr>
          <w:b/>
          <w:sz w:val="22"/>
        </w:rPr>
        <w:t>Segundo: </w:t>
      </w:r>
      <w:r>
        <w:rPr>
          <w:sz w:val="22"/>
        </w:rPr>
        <w:t>Dar cuenta al Pleno de la Corporación de la presente resolución en la primera sesión ordinaria que este celebre, de conformidad con lo establecido en el artículo 42 del Real Decreto 2568/1986, de 28 de noviembre.</w:t>
      </w:r>
    </w:p>
    <w:p>
      <w:pPr>
        <w:spacing w:line="240" w:lineRule="auto" w:before="0"/>
        <w:rPr>
          <w:sz w:val="24"/>
        </w:rPr>
      </w:pPr>
    </w:p>
    <w:p>
      <w:pPr>
        <w:spacing w:line="240" w:lineRule="auto" w:before="0"/>
        <w:rPr>
          <w:sz w:val="24"/>
        </w:rPr>
      </w:pPr>
    </w:p>
    <w:p>
      <w:pPr>
        <w:spacing w:line="240" w:lineRule="auto" w:before="10"/>
        <w:rPr>
          <w:sz w:val="34"/>
        </w:rPr>
      </w:pPr>
    </w:p>
    <w:p>
      <w:pPr>
        <w:spacing w:before="0"/>
        <w:ind w:left="138" w:right="108" w:firstLine="0"/>
        <w:jc w:val="both"/>
        <w:rPr>
          <w:sz w:val="20"/>
        </w:rPr>
      </w:pPr>
      <w:r>
        <w:rPr>
          <w:sz w:val="20"/>
        </w:rPr>
        <w:t>Lo manda y firma el Alcalde del Ayuntamiento de Tías, don José Juan Cruz Saavedra, de lo que como Secretario doy fe.</w:t>
      </w:r>
    </w:p>
    <w:p>
      <w:pPr>
        <w:spacing w:before="120"/>
        <w:ind w:left="138" w:right="0" w:firstLine="0"/>
        <w:jc w:val="both"/>
        <w:rPr>
          <w:sz w:val="20"/>
        </w:rPr>
      </w:pPr>
      <w:r>
        <w:rPr>
          <w:sz w:val="20"/>
        </w:rPr>
        <w:t>En Tías (Lanzarote),</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rPr>
          <w:sz w:val="22"/>
        </w:rPr>
      </w:pPr>
    </w:p>
    <w:p>
      <w:pPr>
        <w:spacing w:after="0" w:line="240" w:lineRule="auto"/>
        <w:rPr>
          <w:sz w:val="22"/>
        </w:rPr>
        <w:sectPr>
          <w:pgSz w:w="11910" w:h="16840"/>
          <w:pgMar w:header="326" w:footer="1048" w:top="1660" w:bottom="1240" w:left="1280" w:right="740"/>
        </w:sectPr>
      </w:pPr>
    </w:p>
    <w:p>
      <w:pPr>
        <w:spacing w:line="213" w:lineRule="auto" w:before="119"/>
        <w:ind w:left="1400" w:right="0" w:firstLine="0"/>
        <w:jc w:val="left"/>
        <w:rPr>
          <w:sz w:val="18"/>
        </w:rPr>
      </w:pPr>
      <w:r>
        <w:rPr>
          <w:sz w:val="18"/>
        </w:rPr>
        <w:t>Documento firmado electrónicamente el día 21/06/2024 a las 9:45:02 por:</w:t>
      </w:r>
    </w:p>
    <w:p>
      <w:pPr>
        <w:spacing w:line="176" w:lineRule="exact" w:before="0"/>
        <w:ind w:left="1400" w:right="0" w:firstLine="0"/>
        <w:jc w:val="left"/>
        <w:rPr>
          <w:sz w:val="18"/>
        </w:rPr>
      </w:pPr>
      <w:r>
        <w:rPr>
          <w:sz w:val="18"/>
        </w:rPr>
        <w:t>El Alcalde</w:t>
      </w:r>
    </w:p>
    <w:p>
      <w:pPr>
        <w:spacing w:line="195" w:lineRule="exact" w:before="0"/>
        <w:ind w:left="1400" w:right="0" w:firstLine="0"/>
        <w:jc w:val="left"/>
        <w:rPr>
          <w:sz w:val="18"/>
        </w:rPr>
      </w:pPr>
      <w:r>
        <w:rPr>
          <w:sz w:val="18"/>
        </w:rPr>
        <w:t>Fdo.: JOSE JUAN CRUZ SAAVEDRA</w:t>
      </w:r>
    </w:p>
    <w:p>
      <w:pPr>
        <w:spacing w:line="154" w:lineRule="exact" w:before="101"/>
        <w:ind w:left="375" w:right="0" w:firstLine="0"/>
        <w:jc w:val="left"/>
        <w:rPr>
          <w:sz w:val="14"/>
        </w:rPr>
      </w:pPr>
      <w:r>
        <w:rPr/>
        <w:br w:type="column"/>
      </w:r>
      <w:r>
        <w:rPr>
          <w:w w:val="105"/>
          <w:sz w:val="14"/>
        </w:rPr>
        <w:t>ISOF 01/2024</w:t>
      </w:r>
    </w:p>
    <w:p>
      <w:pPr>
        <w:spacing w:line="218" w:lineRule="auto" w:before="4"/>
        <w:ind w:left="375" w:right="1270" w:firstLine="0"/>
        <w:jc w:val="left"/>
        <w:rPr>
          <w:sz w:val="14"/>
        </w:rPr>
      </w:pPr>
      <w:r>
        <w:rPr>
          <w:w w:val="105"/>
          <w:sz w:val="14"/>
        </w:rPr>
        <w:t>Documento firmado electrónicamente el día 21/06/2024 a las 13:27:56 por</w:t>
      </w:r>
    </w:p>
    <w:p>
      <w:pPr>
        <w:spacing w:line="141" w:lineRule="exact" w:before="0"/>
        <w:ind w:left="375" w:right="0" w:firstLine="0"/>
        <w:jc w:val="left"/>
        <w:rPr>
          <w:sz w:val="14"/>
        </w:rPr>
      </w:pPr>
      <w:r>
        <w:rPr>
          <w:w w:val="105"/>
          <w:sz w:val="14"/>
        </w:rPr>
        <w:t>El Secretario</w:t>
      </w:r>
    </w:p>
    <w:p>
      <w:pPr>
        <w:spacing w:line="154" w:lineRule="exact" w:before="0"/>
        <w:ind w:left="375" w:right="0" w:firstLine="0"/>
        <w:jc w:val="left"/>
        <w:rPr>
          <w:sz w:val="14"/>
        </w:rPr>
      </w:pPr>
      <w:r>
        <w:rPr>
          <w:w w:val="105"/>
          <w:sz w:val="14"/>
        </w:rPr>
        <w:t>Fdo.:FERNANDO PEREZ-UTRILLA PEREZ</w:t>
      </w:r>
    </w:p>
    <w:sectPr>
      <w:type w:val="continuous"/>
      <w:pgSz w:w="11910" w:h="16840"/>
      <w:pgMar w:top="1660" w:bottom="1240" w:left="1280" w:right="740"/>
      <w:cols w:num="2" w:equalWidth="0">
        <w:col w:w="4645" w:space="40"/>
        <w:col w:w="5205"/>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Carlito">
    <w:altName w:val="Carlito"/>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25pt;margin-top:797.205017pt;width:493.15pt;height:7.9pt;mso-position-horizontal-relative:page;mso-position-vertical-relative:page;z-index:-251812864" coordorigin="1305,15944" coordsize="9863,158">
          <v:rect style="position:absolute;left:1315;top:15954;width:9843;height:138" filled="true" fillcolor="#00457a" stroked="false">
            <v:fill type="solid"/>
          </v:rect>
          <v:line style="position:absolute" from="1310,15954" to="1310,16092" stroked="true" strokeweight=".5pt" strokecolor="#000000">
            <v:stroke dashstyle="solid"/>
          </v:line>
          <v:line style="position:absolute" from="11163,15954" to="11163,16092" stroked="true" strokeweight=".5pt" strokecolor="#000000">
            <v:stroke dashstyle="solid"/>
          </v:line>
          <v:line style="position:absolute" from="1305,15949" to="11168,15949" stroked="true" strokeweight=".5pt" strokecolor="#000000">
            <v:stroke dashstyle="solid"/>
          </v:line>
          <v:line style="position:absolute" from="1310,16097" to="11163,16097" stroked="true" strokeweight=".5pt" strokecolor="#000000">
            <v:stroke dashstyle="solid"/>
          </v:line>
          <w10:wrap type="none"/>
        </v:group>
      </w:pict>
    </w:r>
    <w:r>
      <w:rPr/>
      <w:pict>
        <v:group style="position:absolute;margin-left:65.25pt;margin-top:775.507019pt;width:493.15pt;height:19.4pt;mso-position-horizontal-relative:page;mso-position-vertical-relative:page;z-index:-251811840" coordorigin="1305,15510" coordsize="9863,388">
          <v:line style="position:absolute" from="1310,15520" to="1310,15888" stroked="true" strokeweight=".5pt" strokecolor="#000000">
            <v:stroke dashstyle="solid"/>
          </v:line>
          <v:line style="position:absolute" from="11163,15520" to="11163,15888" stroked="true" strokeweight=".5pt" strokecolor="#000000">
            <v:stroke dashstyle="solid"/>
          </v:line>
          <v:line style="position:absolute" from="1305,15515" to="11168,15515" stroked="true" strokeweight=".5pt" strokecolor="#000000">
            <v:stroke dashstyle="solid"/>
          </v:line>
          <v:line style="position:absolute" from="1310,15893" to="11163,15893" stroked="true" strokeweight=".5pt" strokecolor="#000000">
            <v:stroke dashstyle="solid"/>
          </v:line>
          <w10:wrap type="none"/>
        </v:group>
      </w:pict>
    </w:r>
    <w:r>
      <w:rPr/>
      <w:pict>
        <v:shape style="position:absolute;margin-left:69.900002pt;margin-top:765.480103pt;width:483.9pt;height:29.95pt;mso-position-horizontal-relative:page;mso-position-vertical-relative:page;z-index:-251810816" type="#_x0000_t202" filled="false" stroked="false">
          <v:textbox inset="0,0,0,0">
            <w:txbxContent>
              <w:p>
                <w:pPr>
                  <w:spacing w:before="15"/>
                  <w:ind w:left="9384" w:right="0" w:firstLine="0"/>
                  <w:jc w:val="left"/>
                  <w:rPr>
                    <w:sz w:val="14"/>
                  </w:rPr>
                </w:pPr>
                <w:r>
                  <w:rPr/>
                  <w:fldChar w:fldCharType="begin"/>
                </w:r>
                <w:r>
                  <w:rPr>
                    <w:sz w:val="14"/>
                  </w:rPr>
                  <w:instrText> PAGE </w:instrText>
                </w:r>
                <w:r>
                  <w:rPr/>
                  <w:fldChar w:fldCharType="separate"/>
                </w:r>
                <w:r>
                  <w:rPr/>
                  <w:t>1</w:t>
                </w:r>
                <w:r>
                  <w:rPr/>
                  <w:fldChar w:fldCharType="end"/>
                </w:r>
                <w:r>
                  <w:rPr>
                    <w:sz w:val="14"/>
                  </w:rPr>
                  <w:t> / 2</w:t>
                </w:r>
              </w:p>
              <w:p>
                <w:pPr>
                  <w:spacing w:before="34"/>
                  <w:ind w:left="20" w:right="0" w:firstLine="0"/>
                  <w:jc w:val="left"/>
                  <w:rPr>
                    <w:sz w:val="16"/>
                  </w:rPr>
                </w:pPr>
                <w:r>
                  <w:rPr>
                    <w:sz w:val="16"/>
                  </w:rPr>
                  <w:t>Documento firmado electrónicamente (RD 1671/2009). La autenticidad de este documento puede ser comprobada mediante el CSV: 15250365042452421440 en </w:t>
                </w:r>
                <w:hyperlink r:id="rId1">
                  <w:r>
                    <w:rPr>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1809792" type="#_x0000_t202" filled="false" stroked="false">
          <v:textbox inset="0,0,0,0">
            <w:txbxContent>
              <w:p>
                <w:pPr>
                  <w:spacing w:before="14"/>
                  <w:ind w:left="20" w:right="240" w:firstLine="0"/>
                  <w:jc w:val="left"/>
                  <w:rPr>
                    <w:sz w:val="16"/>
                  </w:rPr>
                </w:pPr>
                <w:r>
                  <w:rPr>
                    <w:sz w:val="16"/>
                  </w:rPr>
                  <w:t>Ayuntamiento de Tías C/ Libertad 50</w:t>
                </w:r>
              </w:p>
              <w:p>
                <w:pPr>
                  <w:spacing w:before="0"/>
                  <w:ind w:left="20" w:right="0" w:firstLine="0"/>
                  <w:jc w:val="left"/>
                  <w:rPr>
                    <w:sz w:val="16"/>
                  </w:rPr>
                </w:pPr>
                <w:r>
                  <w:rPr>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1808768" type="#_x0000_t202" filled="false" stroked="false">
          <v:textbox inset="0,0,0,0">
            <w:txbxContent>
              <w:p>
                <w:pPr>
                  <w:spacing w:before="14"/>
                  <w:ind w:left="884" w:right="0" w:firstLine="0"/>
                  <w:jc w:val="left"/>
                  <w:rPr>
                    <w:sz w:val="16"/>
                  </w:rPr>
                </w:pPr>
                <w:r>
                  <w:rPr>
                    <w:sz w:val="16"/>
                  </w:rPr>
                  <w:t>Tlf: 928 833</w:t>
                </w:r>
                <w:r>
                  <w:rPr>
                    <w:spacing w:val="-7"/>
                    <w:sz w:val="16"/>
                  </w:rPr>
                  <w:t> </w:t>
                </w:r>
                <w:r>
                  <w:rPr>
                    <w:sz w:val="16"/>
                  </w:rPr>
                  <w:t>619</w:t>
                </w:r>
              </w:p>
              <w:p>
                <w:pPr>
                  <w:spacing w:before="0"/>
                  <w:ind w:left="48" w:right="0" w:hanging="29"/>
                  <w:jc w:val="left"/>
                  <w:rPr>
                    <w:sz w:val="16"/>
                  </w:rPr>
                </w:pPr>
                <w:hyperlink r:id="rId2">
                  <w:r>
                    <w:rPr>
                      <w:spacing w:val="-1"/>
                      <w:sz w:val="16"/>
                    </w:rPr>
                    <w:t>info@ayuntamientodetias.es</w:t>
                  </w:r>
                </w:hyperlink>
                <w:r>
                  <w:rPr>
                    <w:spacing w:val="-1"/>
                    <w:sz w:val="16"/>
                  </w:rPr>
                  <w:t> sede.ayuntamientodetias.es</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501568">
          <wp:simplePos x="0" y="0"/>
          <wp:positionH relativeFrom="page">
            <wp:posOffset>917289</wp:posOffset>
          </wp:positionH>
          <wp:positionV relativeFrom="page">
            <wp:posOffset>206997</wp:posOffset>
          </wp:positionV>
          <wp:extent cx="545115" cy="79845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32pt;margin-top:39.582195pt;width:173.9pt;height:17.650pt;mso-position-horizontal-relative:page;mso-position-vertical-relative:page;z-index:-251813888" type="#_x0000_t202" filled="false" stroked="false">
          <v:textbox inset="0,0,0,0">
            <w:txbxContent>
              <w:p>
                <w:pPr>
                  <w:spacing w:before="11"/>
                  <w:ind w:left="20" w:right="0" w:firstLine="0"/>
                  <w:jc w:val="left"/>
                  <w:rPr>
                    <w:b/>
                    <w:sz w:val="28"/>
                  </w:rPr>
                </w:pPr>
                <w:r>
                  <w:rPr>
                    <w:b/>
                    <w:sz w:val="28"/>
                  </w:rPr>
                  <w:t>AYUNTAMIENTO DE TÍAS</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rPr>
      <w:rFonts w:ascii="Carlito" w:hAnsi="Carlito" w:eastAsia="Carlito" w:cs="Carlito"/>
      <w:sz w:val="24"/>
      <w:szCs w:val="24"/>
      <w:lang w:val="es-es" w:eastAsia="es-es" w:bidi="es-es"/>
    </w:rPr>
  </w:style>
  <w:style w:styleId="Heading1" w:type="paragraph">
    <w:name w:val="Heading 1"/>
    <w:basedOn w:val="Normal"/>
    <w:uiPriority w:val="1"/>
    <w:qFormat/>
    <w:pPr>
      <w:ind w:left="137"/>
      <w:outlineLvl w:val="1"/>
    </w:pPr>
    <w:rPr>
      <w:rFonts w:ascii="Carlito" w:hAnsi="Carlito" w:eastAsia="Carlito" w:cs="Carlito"/>
      <w:b/>
      <w:bCs/>
      <w:i/>
      <w:sz w:val="24"/>
      <w:szCs w:val="24"/>
      <w:lang w:val="es-es" w:eastAsia="es-es" w:bidi="es-es"/>
    </w:rPr>
  </w:style>
  <w:style w:styleId="ListParagraph" w:type="paragraph">
    <w:name w:val="List Paragraph"/>
    <w:basedOn w:val="Normal"/>
    <w:uiPriority w:val="1"/>
    <w:qFormat/>
    <w:pPr/>
    <w:rPr>
      <w:lang w:val="es-es" w:eastAsia="es-es" w:bidi="es-es"/>
    </w:rPr>
  </w:style>
  <w:style w:styleId="TableParagraph" w:type="paragraph">
    <w:name w:val="Table Paragraph"/>
    <w:basedOn w:val="Normal"/>
    <w:uiPriority w:val="1"/>
    <w:qFormat/>
    <w:pPr/>
    <w:rPr>
      <w:rFonts w:ascii="Carlito" w:hAnsi="Carlito" w:eastAsia="Carlito" w:cs="Carlito"/>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msanch14</dc:creator>
  <dc:title>INFORME-PROPUESTA</dc:title>
  <dcterms:created xsi:type="dcterms:W3CDTF">2025-03-20T12:12:33Z</dcterms:created>
  <dcterms:modified xsi:type="dcterms:W3CDTF">2025-03-20T12:12:33Z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2019-07-31T00:00:00Z</vt:filetime>
  </property>
  <property fmtid="{D5CDD505-2E9C-101B-9397-08002B2CF9AE}" pid="3" name="Creator">
    <vt:lpwstr>Microsoft Office Word</vt:lpwstr>
  </property>
  <property fmtid="{D5CDD505-2E9C-101B-9397-08002B2CF9AE}" pid="4" name="LastSaved">
    <vt:filetime>2025-03-20T00:00:00Z</vt:filetime>
  </property>
</Properties>
</file>