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97" w:lineRule="auto" w:before="62"/>
        <w:ind w:left="6704" w:right="2684"/>
        <w:jc w:val="center"/>
      </w:pPr>
      <w:r>
        <w:rPr/>
        <w:t>Ayuntamiento de Tías 2023</w:t>
      </w:r>
    </w:p>
    <w:p>
      <w:pPr>
        <w:pStyle w:val="BodyText"/>
        <w:spacing w:before="102"/>
        <w:ind w:left="4879" w:right="901"/>
        <w:jc w:val="center"/>
      </w:pPr>
      <w:r>
        <w:rPr/>
        <w:t>ESTADO DE LIQUIDACIÓN DEL PRESUPUESTO</w:t>
      </w:r>
    </w:p>
    <w:p>
      <w:pPr>
        <w:pStyle w:val="BodyText"/>
        <w:spacing w:before="178"/>
        <w:ind w:left="140"/>
      </w:pPr>
      <w:r>
        <w:rPr/>
        <w:t>II. LIQUIDACIÓN DEL PRESUPUESTO DE INGRESOS. RESUMEN GENERAL POR CAPÍTULOS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2"/>
        </w:rPr>
      </w:pPr>
    </w:p>
    <w:p>
      <w:pPr>
        <w:spacing w:line="261" w:lineRule="auto" w:before="0"/>
        <w:ind w:left="140" w:right="1069" w:firstLine="0"/>
        <w:jc w:val="left"/>
        <w:rPr>
          <w:sz w:val="16"/>
        </w:rPr>
      </w:pPr>
      <w:r>
        <w:rPr>
          <w:sz w:val="16"/>
        </w:rPr>
        <w:t>Página: 1  /  1 Fecha:</w:t>
      </w:r>
      <w:r>
        <w:rPr>
          <w:spacing w:val="37"/>
          <w:sz w:val="16"/>
        </w:rPr>
        <w:t> </w:t>
      </w:r>
      <w:r>
        <w:rPr>
          <w:sz w:val="16"/>
        </w:rPr>
        <w:t>31/12/2023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6840" w:h="11900" w:orient="landscape"/>
          <w:pgMar w:top="400" w:bottom="280" w:left="460" w:right="460"/>
          <w:cols w:num="2" w:equalWidth="0">
            <w:col w:w="11903" w:space="1497"/>
            <w:col w:w="2520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212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15"/>
      </w:tblGrid>
      <w:tr>
        <w:trPr>
          <w:trHeight w:val="387" w:hRule="atLeast"/>
        </w:trPr>
        <w:tc>
          <w:tcPr>
            <w:tcW w:w="1500" w:type="dxa"/>
            <w:vMerge w:val="restart"/>
            <w:tcBorders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317" w:right="0"/>
              <w:jc w:val="left"/>
              <w:rPr>
                <w:sz w:val="16"/>
              </w:rPr>
            </w:pPr>
            <w:r>
              <w:rPr>
                <w:sz w:val="16"/>
              </w:rPr>
              <w:t>CAPÍTULOS</w:t>
            </w:r>
          </w:p>
        </w:tc>
        <w:tc>
          <w:tcPr>
            <w:tcW w:w="212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545" w:right="0"/>
              <w:jc w:val="left"/>
              <w:rPr>
                <w:sz w:val="16"/>
              </w:rPr>
            </w:pPr>
            <w:r>
              <w:rPr>
                <w:sz w:val="16"/>
              </w:rPr>
              <w:t>DESCRIPCIÓN</w:t>
            </w:r>
          </w:p>
        </w:tc>
        <w:tc>
          <w:tcPr>
            <w:tcW w:w="3600" w:type="dxa"/>
            <w:gridSpan w:val="3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76"/>
              <w:ind w:left="552" w:right="0"/>
              <w:jc w:val="left"/>
              <w:rPr>
                <w:sz w:val="16"/>
              </w:rPr>
            </w:pPr>
            <w:r>
              <w:rPr>
                <w:sz w:val="16"/>
              </w:rPr>
              <w:t>PREVISIONES PRESUPUESTARIAS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41" w:right="0" w:hanging="1"/>
              <w:jc w:val="center"/>
              <w:rPr>
                <w:sz w:val="16"/>
              </w:rPr>
            </w:pPr>
            <w:r>
              <w:rPr>
                <w:sz w:val="16"/>
              </w:rPr>
              <w:t>DERECHOS RECONOCIDOS (4)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170" w:right="127" w:hanging="1"/>
              <w:jc w:val="center"/>
              <w:rPr>
                <w:sz w:val="16"/>
              </w:rPr>
            </w:pPr>
            <w:r>
              <w:rPr>
                <w:sz w:val="16"/>
              </w:rPr>
              <w:t>DERECHOS ANULADOS (5)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72" w:right="30" w:hanging="1"/>
              <w:jc w:val="center"/>
              <w:rPr>
                <w:sz w:val="16"/>
              </w:rPr>
            </w:pPr>
            <w:r>
              <w:rPr>
                <w:sz w:val="16"/>
              </w:rPr>
              <w:t>DERECHOS CANCELADOS (6)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08" w:lineRule="auto" w:before="115"/>
              <w:ind w:left="41" w:right="0" w:hanging="1"/>
              <w:jc w:val="center"/>
              <w:rPr>
                <w:sz w:val="16"/>
              </w:rPr>
            </w:pPr>
            <w:r>
              <w:rPr>
                <w:sz w:val="16"/>
              </w:rPr>
              <w:t>DERECHOS RECONOCIDOS NETOS</w:t>
            </w:r>
          </w:p>
          <w:p>
            <w:pPr>
              <w:pStyle w:val="TableParagraph"/>
              <w:spacing w:line="164" w:lineRule="exact" w:before="0"/>
              <w:ind w:left="277" w:right="238"/>
              <w:jc w:val="center"/>
              <w:rPr>
                <w:sz w:val="16"/>
              </w:rPr>
            </w:pPr>
            <w:r>
              <w:rPr>
                <w:sz w:val="16"/>
              </w:rPr>
              <w:t>(7=4-5-6)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38" w:right="-15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RECAUDACIÓN </w:t>
            </w:r>
            <w:r>
              <w:rPr>
                <w:spacing w:val="-4"/>
                <w:sz w:val="16"/>
              </w:rPr>
              <w:t>NETA</w:t>
            </w:r>
          </w:p>
          <w:p>
            <w:pPr>
              <w:pStyle w:val="TableParagraph"/>
              <w:spacing w:line="164" w:lineRule="exact" w:before="0"/>
              <w:ind w:left="277" w:right="237"/>
              <w:jc w:val="center"/>
              <w:rPr>
                <w:sz w:val="16"/>
              </w:rPr>
            </w:pPr>
            <w:r>
              <w:rPr>
                <w:sz w:val="16"/>
              </w:rPr>
              <w:t>(8)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08" w:lineRule="auto" w:before="0"/>
              <w:ind w:left="37" w:right="-15" w:hanging="1"/>
              <w:jc w:val="center"/>
              <w:rPr>
                <w:sz w:val="16"/>
              </w:rPr>
            </w:pPr>
            <w:r>
              <w:rPr>
                <w:sz w:val="16"/>
              </w:rPr>
              <w:t>DERECHOS PENDIENTES DE COBRO 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31 DE DICIEMBRE</w:t>
            </w:r>
          </w:p>
          <w:p>
            <w:pPr>
              <w:pStyle w:val="TableParagraph"/>
              <w:spacing w:line="132" w:lineRule="exact" w:before="0"/>
              <w:ind w:left="277" w:right="238"/>
              <w:jc w:val="center"/>
              <w:rPr>
                <w:sz w:val="16"/>
              </w:rPr>
            </w:pPr>
            <w:r>
              <w:rPr>
                <w:sz w:val="16"/>
              </w:rPr>
              <w:t>(9=7-8)</w:t>
            </w:r>
          </w:p>
        </w:tc>
        <w:tc>
          <w:tcPr>
            <w:tcW w:w="1215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24" w:space="0" w:color="0000FF"/>
            </w:tcBorders>
          </w:tcPr>
          <w:p>
            <w:pPr>
              <w:pStyle w:val="TableParagraph"/>
              <w:spacing w:line="208" w:lineRule="auto" w:before="115"/>
              <w:ind w:left="192" w:right="145" w:hanging="1"/>
              <w:jc w:val="center"/>
              <w:rPr>
                <w:sz w:val="16"/>
              </w:rPr>
            </w:pPr>
            <w:r>
              <w:rPr>
                <w:sz w:val="16"/>
              </w:rPr>
              <w:t>EXCESO / DEFECTO PREVISIÓN (10=7-3)</w:t>
            </w:r>
          </w:p>
        </w:tc>
      </w:tr>
      <w:tr>
        <w:trPr>
          <w:trHeight w:val="380" w:hRule="atLeast"/>
        </w:trPr>
        <w:tc>
          <w:tcPr>
            <w:tcW w:w="1500" w:type="dxa"/>
            <w:vMerge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08" w:lineRule="auto" w:before="28"/>
              <w:ind w:left="516" w:right="159" w:hanging="298"/>
              <w:jc w:val="left"/>
              <w:rPr>
                <w:sz w:val="16"/>
              </w:rPr>
            </w:pPr>
            <w:r>
              <w:rPr>
                <w:sz w:val="16"/>
              </w:rPr>
              <w:t>INICIALES (1)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08" w:lineRule="auto" w:before="28"/>
              <w:ind w:left="516" w:right="0" w:hanging="373"/>
              <w:jc w:val="left"/>
              <w:rPr>
                <w:sz w:val="16"/>
              </w:rPr>
            </w:pPr>
            <w:r>
              <w:rPr>
                <w:sz w:val="16"/>
              </w:rPr>
              <w:t>MODIFICAC. (2)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08" w:lineRule="auto" w:before="28"/>
              <w:ind w:left="346" w:right="0" w:hanging="224"/>
              <w:jc w:val="left"/>
              <w:rPr>
                <w:sz w:val="16"/>
              </w:rPr>
            </w:pPr>
            <w:r>
              <w:rPr>
                <w:sz w:val="16"/>
              </w:rPr>
              <w:t>DEFINITIVAS (3=1+2)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24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150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8"/>
              <w:ind w:right="2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>
            <w:pPr>
              <w:pStyle w:val="TableParagraph"/>
              <w:spacing w:before="16"/>
              <w:ind w:right="2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2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00" w:lineRule="atLeast" w:before="32"/>
              <w:ind w:left="50" w:right="701"/>
              <w:jc w:val="left"/>
              <w:rPr>
                <w:sz w:val="16"/>
              </w:rPr>
            </w:pPr>
            <w:r>
              <w:rPr>
                <w:sz w:val="16"/>
              </w:rPr>
              <w:t>Impuestos directos Impuestos indirectos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8"/>
              <w:ind w:left="330" w:right="0"/>
              <w:jc w:val="left"/>
              <w:rPr>
                <w:sz w:val="16"/>
              </w:rPr>
            </w:pPr>
            <w:r>
              <w:rPr>
                <w:sz w:val="16"/>
              </w:rPr>
              <w:t>9.326.080,09</w:t>
            </w:r>
          </w:p>
          <w:p>
            <w:pPr>
              <w:pStyle w:val="TableParagraph"/>
              <w:spacing w:before="16"/>
              <w:ind w:left="330" w:right="0"/>
              <w:jc w:val="left"/>
              <w:rPr>
                <w:sz w:val="16"/>
              </w:rPr>
            </w:pPr>
            <w:r>
              <w:rPr>
                <w:sz w:val="16"/>
              </w:rPr>
              <w:t>5.455.500,93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8"/>
              <w:ind w:left="250" w:right="0"/>
              <w:jc w:val="left"/>
              <w:rPr>
                <w:sz w:val="16"/>
              </w:rPr>
            </w:pPr>
            <w:r>
              <w:rPr>
                <w:sz w:val="16"/>
              </w:rPr>
              <w:t>10.166.080,09</w:t>
            </w:r>
          </w:p>
          <w:p>
            <w:pPr>
              <w:pStyle w:val="TableParagraph"/>
              <w:spacing w:before="16"/>
              <w:ind w:left="330" w:right="0"/>
              <w:jc w:val="left"/>
              <w:rPr>
                <w:sz w:val="16"/>
              </w:rPr>
            </w:pPr>
            <w:r>
              <w:rPr>
                <w:sz w:val="16"/>
              </w:rPr>
              <w:t>5.455.500,93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8"/>
              <w:ind w:left="250" w:right="0"/>
              <w:jc w:val="left"/>
              <w:rPr>
                <w:sz w:val="16"/>
              </w:rPr>
            </w:pPr>
            <w:r>
              <w:rPr>
                <w:sz w:val="16"/>
              </w:rPr>
              <w:t>12.268.835,11</w:t>
            </w:r>
          </w:p>
          <w:p>
            <w:pPr>
              <w:pStyle w:val="TableParagraph"/>
              <w:spacing w:before="16"/>
              <w:ind w:left="330" w:right="0"/>
              <w:jc w:val="left"/>
              <w:rPr>
                <w:sz w:val="16"/>
              </w:rPr>
            </w:pPr>
            <w:r>
              <w:rPr>
                <w:sz w:val="16"/>
              </w:rPr>
              <w:t>5.857.264,89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142.311,05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475.712,91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8"/>
              <w:ind w:left="250" w:right="0"/>
              <w:jc w:val="left"/>
              <w:rPr>
                <w:sz w:val="16"/>
              </w:rPr>
            </w:pPr>
            <w:r>
              <w:rPr>
                <w:sz w:val="16"/>
              </w:rPr>
              <w:t>11.650.811,15</w:t>
            </w:r>
          </w:p>
          <w:p>
            <w:pPr>
              <w:pStyle w:val="TableParagraph"/>
              <w:spacing w:before="16"/>
              <w:ind w:left="330" w:right="0"/>
              <w:jc w:val="left"/>
              <w:rPr>
                <w:sz w:val="16"/>
              </w:rPr>
            </w:pPr>
            <w:r>
              <w:rPr>
                <w:sz w:val="16"/>
              </w:rPr>
              <w:t>5.857.264,89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8"/>
              <w:ind w:left="330" w:right="0"/>
              <w:jc w:val="left"/>
              <w:rPr>
                <w:sz w:val="16"/>
              </w:rPr>
            </w:pPr>
            <w:r>
              <w:rPr>
                <w:sz w:val="16"/>
              </w:rPr>
              <w:t>9.922.847,20</w:t>
            </w:r>
          </w:p>
          <w:p>
            <w:pPr>
              <w:pStyle w:val="TableParagraph"/>
              <w:spacing w:before="16"/>
              <w:ind w:left="330" w:right="0"/>
              <w:jc w:val="left"/>
              <w:rPr>
                <w:sz w:val="16"/>
              </w:rPr>
            </w:pPr>
            <w:r>
              <w:rPr>
                <w:sz w:val="16"/>
              </w:rPr>
              <w:t>5.846.494,49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1.727.963,95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10.770,40</w:t>
            </w:r>
          </w:p>
        </w:tc>
        <w:tc>
          <w:tcPr>
            <w:tcW w:w="1215" w:type="dxa"/>
            <w:tcBorders>
              <w:top w:val="single" w:sz="8" w:space="0" w:color="0000FF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spacing w:before="48"/>
              <w:ind w:right="4"/>
              <w:rPr>
                <w:sz w:val="16"/>
              </w:rPr>
            </w:pPr>
            <w:r>
              <w:rPr>
                <w:sz w:val="16"/>
              </w:rPr>
              <w:t>1.484.731,06</w:t>
            </w:r>
          </w:p>
          <w:p>
            <w:pPr>
              <w:pStyle w:val="TableParagraph"/>
              <w:spacing w:before="16"/>
              <w:ind w:right="4"/>
              <w:rPr>
                <w:sz w:val="16"/>
              </w:rPr>
            </w:pPr>
            <w:r>
              <w:rPr>
                <w:sz w:val="16"/>
              </w:rPr>
              <w:t>401.763,96</w:t>
            </w:r>
          </w:p>
        </w:tc>
      </w:tr>
      <w:tr>
        <w:trPr>
          <w:trHeight w:val="240" w:hRule="atLeast"/>
        </w:trPr>
        <w:tc>
          <w:tcPr>
            <w:tcW w:w="15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7" w:right="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 w:right="0"/>
              <w:jc w:val="left"/>
              <w:rPr>
                <w:sz w:val="16"/>
              </w:rPr>
            </w:pPr>
            <w:r>
              <w:rPr>
                <w:sz w:val="16"/>
              </w:rPr>
              <w:t>Tasas, precios públicos y otros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3.139.629,01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41.300,00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3.180.929,01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5.089.318,53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674.389,17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218.926,89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4.196.002,47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3.468.551,75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727.450,72</w:t>
            </w:r>
          </w:p>
        </w:tc>
        <w:tc>
          <w:tcPr>
            <w:tcW w:w="12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1.015.073,46</w:t>
            </w:r>
          </w:p>
        </w:tc>
      </w:tr>
      <w:tr>
        <w:trPr>
          <w:trHeight w:val="240" w:hRule="atLeast"/>
        </w:trPr>
        <w:tc>
          <w:tcPr>
            <w:tcW w:w="15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7" w:right="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 w:right="0"/>
              <w:jc w:val="left"/>
              <w:rPr>
                <w:sz w:val="16"/>
              </w:rPr>
            </w:pPr>
            <w:r>
              <w:rPr>
                <w:sz w:val="16"/>
              </w:rPr>
              <w:t>Transferencias corrientes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9.515.379,29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2.542.923,99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12.058.303,28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12.351.676,18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155.018,20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12.196.657,98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12.196.657,98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138.354,70</w:t>
            </w:r>
          </w:p>
        </w:tc>
      </w:tr>
      <w:tr>
        <w:trPr>
          <w:trHeight w:val="240" w:hRule="atLeast"/>
        </w:trPr>
        <w:tc>
          <w:tcPr>
            <w:tcW w:w="15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7" w:right="0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 w:right="0"/>
              <w:jc w:val="left"/>
              <w:rPr>
                <w:sz w:val="16"/>
              </w:rPr>
            </w:pPr>
            <w:r>
              <w:rPr>
                <w:sz w:val="16"/>
              </w:rPr>
              <w:t>Ingresos patrimoniales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188.000,00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188.000,00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249.602,36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249.602,36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248.434,61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1.167,75</w:t>
            </w:r>
          </w:p>
        </w:tc>
        <w:tc>
          <w:tcPr>
            <w:tcW w:w="12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61.602,36</w:t>
            </w:r>
          </w:p>
        </w:tc>
      </w:tr>
      <w:tr>
        <w:trPr>
          <w:trHeight w:val="240" w:hRule="atLeast"/>
        </w:trPr>
        <w:tc>
          <w:tcPr>
            <w:tcW w:w="15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7" w:right="0"/>
              <w:jc w:val="lef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 w:right="0"/>
              <w:jc w:val="left"/>
              <w:rPr>
                <w:sz w:val="16"/>
              </w:rPr>
            </w:pPr>
            <w:r>
              <w:rPr>
                <w:sz w:val="16"/>
              </w:rPr>
              <w:t>Transferencias de capital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3.301.397,34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3.301.397,34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773.445,34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773.445,34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773.445,34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-2.527.952,00</w:t>
            </w:r>
          </w:p>
        </w:tc>
      </w:tr>
      <w:tr>
        <w:trPr>
          <w:trHeight w:val="5955" w:hRule="atLeast"/>
        </w:trPr>
        <w:tc>
          <w:tcPr>
            <w:tcW w:w="150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left="577" w:right="0"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left="50" w:right="0"/>
              <w:jc w:val="left"/>
              <w:rPr>
                <w:sz w:val="16"/>
              </w:rPr>
            </w:pPr>
            <w:r>
              <w:rPr>
                <w:sz w:val="16"/>
              </w:rPr>
              <w:t>Activos financieros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4.540.540,61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4.670.540,61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nil"/>
              <w:left w:val="single" w:sz="8" w:space="0" w:color="0000FF"/>
              <w:bottom w:val="single" w:sz="8" w:space="0" w:color="0000FF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-4.670.540,61</w:t>
            </w:r>
          </w:p>
        </w:tc>
      </w:tr>
      <w:tr>
        <w:trPr>
          <w:trHeight w:val="387" w:hRule="atLeast"/>
        </w:trPr>
        <w:tc>
          <w:tcPr>
            <w:tcW w:w="3620" w:type="dxa"/>
            <w:gridSpan w:val="2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ind w:left="1817" w:right="0"/>
              <w:jc w:val="left"/>
              <w:rPr>
                <w:sz w:val="16"/>
              </w:rPr>
            </w:pPr>
            <w:r>
              <w:rPr>
                <w:sz w:val="16"/>
              </w:rPr>
              <w:t>SUMAS TOTALES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27.754.589,32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11.266.161,94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39.020.751,26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36.590.142,41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971.718,42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694.639,80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34.923.784,19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32.456.431,37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2.467.352,82</w:t>
            </w:r>
          </w:p>
        </w:tc>
        <w:tc>
          <w:tcPr>
            <w:tcW w:w="1215" w:type="dxa"/>
            <w:tcBorders>
              <w:top w:val="single" w:sz="8" w:space="0" w:color="0000FF"/>
              <w:left w:val="single" w:sz="8" w:space="0" w:color="0000FF"/>
              <w:right w:val="single" w:sz="24" w:space="0" w:color="0000FF"/>
            </w:tcBorders>
          </w:tcPr>
          <w:p>
            <w:pPr>
              <w:pStyle w:val="TableParagraph"/>
              <w:spacing w:before="68"/>
              <w:ind w:right="4"/>
              <w:rPr>
                <w:sz w:val="16"/>
              </w:rPr>
            </w:pPr>
            <w:r>
              <w:rPr>
                <w:sz w:val="16"/>
              </w:rPr>
              <w:t>-4.096.967,07</w:t>
            </w:r>
          </w:p>
        </w:tc>
      </w:tr>
    </w:tbl>
    <w:p>
      <w:pPr>
        <w:spacing w:before="139"/>
        <w:ind w:left="0" w:right="178" w:firstLine="0"/>
        <w:jc w:val="right"/>
        <w:rPr>
          <w:sz w:val="16"/>
        </w:rPr>
      </w:pPr>
      <w:r>
        <w:rPr>
          <w:sz w:val="16"/>
        </w:rPr>
        <w:t>C044</w:t>
      </w:r>
    </w:p>
    <w:sectPr>
      <w:type w:val="continuous"/>
      <w:pgSz w:w="16840" w:h="11900" w:orient="landscape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4"/>
      <w:ind w:right="9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2025-02-06T12:40:24Z</dcterms:created>
  <dcterms:modified xsi:type="dcterms:W3CDTF">2025-02-06T12:40:24Z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2025-02-06T00:00:00Z</vt:filetime>
  </property>
</Properties>
</file>