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ALC/2024/505 de fecha 13/06/2024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BodyText"/>
        <w:spacing w:line="276" w:lineRule="auto" w:before="90"/>
        <w:ind w:left="117" w:right="108" w:firstLine="61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18 de junio de 2024, a las 08:30 horas, </w:t>
      </w:r>
      <w:r>
        <w:rPr>
          <w:sz w:val="24"/>
        </w:rPr>
        <w:t>siendo la razón de urgencia de la inclusión en el Orden del Día del Punto 12º asunto que no ha</w:t>
      </w:r>
      <w:r>
        <w:rPr>
          <w:spacing w:val="3"/>
          <w:sz w:val="24"/>
        </w:rPr>
        <w:t> </w:t>
      </w:r>
      <w:r>
        <w:rPr>
          <w:sz w:val="24"/>
        </w:rPr>
        <w:t>sido previamente informado por la respectiva Comisión Informativa): </w:t>
      </w:r>
      <w:r>
        <w:rPr>
          <w:i/>
          <w:sz w:val="24"/>
        </w:rPr>
        <w:t>promover la firma del Pacto </w:t>
      </w:r>
      <w:r>
        <w:rPr>
          <w:i/>
          <w:sz w:val="24"/>
        </w:rPr>
        <w:t>Insular para el día 28 de junio de 2024; </w:t>
      </w:r>
      <w:r>
        <w:rPr>
          <w:sz w:val="24"/>
        </w:rPr>
        <w:t>con el</w:t>
      </w:r>
      <w:r>
        <w:rPr>
          <w:spacing w:val="-1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7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21-05-2024, número de orden 06/2024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2024/00004077Y. SUPRESIÓN DE TARIFA URBANA Y APLICACIÓN DE TARIFA APROBADA PARA LOS SERVICIOS INTERURBANOS DE</w:t>
      </w:r>
      <w:r>
        <w:rPr>
          <w:spacing w:val="-2"/>
          <w:sz w:val="24"/>
        </w:rPr>
        <w:t> </w:t>
      </w:r>
      <w:r>
        <w:rPr>
          <w:sz w:val="24"/>
        </w:rPr>
        <w:t>AUTO-TAXI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2024/00002946W. Modificación de la ordenanza reguladora de la utilización y ocupación del dominio público</w:t>
      </w:r>
      <w:r>
        <w:rPr>
          <w:spacing w:val="-1"/>
          <w:sz w:val="24"/>
        </w:rPr>
        <w:t> </w:t>
      </w:r>
      <w:r>
        <w:rPr>
          <w:sz w:val="24"/>
        </w:rPr>
        <w:t>municipal.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2024/00001497W. ESTUDIO AMBIENTAL PLAN PARCIAL ZSR-8</w:t>
      </w:r>
      <w:r>
        <w:rPr>
          <w:spacing w:val="-1"/>
          <w:sz w:val="24"/>
        </w:rPr>
        <w:t> </w:t>
      </w:r>
      <w:r>
        <w:rPr>
          <w:sz w:val="24"/>
        </w:rPr>
        <w:t>MACHER.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2023/00004612V. PROPUESTA DE ACTUACIÓN DE DOTACIÓN A TRAVÉS DE UN PROGRAMA DE ACTUACIÓN SOBRE EL MEDIO URBANO (PAMU) EN PLAZA PÚBLICA, SOLAR Y EDIFICIO EXISTENTE SIN TERMINAR.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10" w:hanging="360"/>
        <w:jc w:val="both"/>
        <w:rPr>
          <w:sz w:val="24"/>
        </w:rPr>
      </w:pPr>
      <w:r>
        <w:rPr>
          <w:sz w:val="24"/>
        </w:rPr>
        <w:t>Número de expediente: 2024/00002613Z. MODIFICACIÓN MENOR DEL PLAN GENERAL DE ORDENACION DE TÍAS EN EL SECTOR LANZAROTE</w:t>
      </w:r>
      <w:r>
        <w:rPr>
          <w:spacing w:val="-14"/>
          <w:sz w:val="24"/>
        </w:rPr>
        <w:t> </w:t>
      </w:r>
      <w:r>
        <w:rPr>
          <w:sz w:val="24"/>
        </w:rPr>
        <w:t>GOLF.</w:t>
      </w:r>
    </w:p>
    <w:p>
      <w:pPr>
        <w:pStyle w:val="BodyText"/>
      </w:pPr>
    </w:p>
    <w:p>
      <w:pPr>
        <w:pStyle w:val="Heading1"/>
      </w:pPr>
      <w:r>
        <w:rPr/>
        <w:t>Parte 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8" w:hanging="360"/>
        <w:jc w:val="both"/>
        <w:rPr>
          <w:rFonts w:ascii="Arial" w:hAnsi="Arial"/>
          <w:sz w:val="22"/>
        </w:rPr>
      </w:pPr>
      <w:r>
        <w:rPr>
          <w:sz w:val="24"/>
        </w:rPr>
        <w:t>Número de expediente: 2024/00005507X. El Grupo municipal del Partido Popular en el Ayuntamiento de Tias, presenta moción para instar al Gobierno municipal a iniciar los trámites necesarios tendentes a culminar la recuperación de la Molina de</w:t>
      </w:r>
      <w:r>
        <w:rPr>
          <w:spacing w:val="-7"/>
          <w:sz w:val="24"/>
        </w:rPr>
        <w:t> </w:t>
      </w:r>
      <w:r>
        <w:rPr>
          <w:sz w:val="24"/>
        </w:rPr>
        <w:t>Mácher</w:t>
      </w:r>
      <w:r>
        <w:rPr>
          <w:rFonts w:ascii="Arial" w:hAnsi="Arial"/>
          <w:sz w:val="22"/>
        </w:rPr>
        <w:t>.</w:t>
      </w:r>
    </w:p>
    <w:p>
      <w:pPr>
        <w:spacing w:after="0" w:line="240" w:lineRule="auto"/>
        <w:jc w:val="both"/>
        <w:rPr>
          <w:rFonts w:ascii="Arial" w:hAnsi="Arial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37" w:lineRule="auto" w:before="113" w:after="0"/>
        <w:ind w:left="838" w:right="11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Número de expediente: 2024/00004617V. Moción que presenta el Partido Popular del Ayuntamiento de Tías para la reprobación a las palabras del Presidente del Gobierno por su desprecio al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Municipalismo.</w:t>
      </w:r>
    </w:p>
    <w:p>
      <w:pPr>
        <w:pStyle w:val="BodyText"/>
        <w:spacing w:before="5"/>
        <w:rPr>
          <w:rFonts w:ascii="Arial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35" w:lineRule="auto" w:before="0" w:after="0"/>
        <w:ind w:left="838" w:right="11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Número de expediente: 2024/00004629Y. Moción que presenta el Partido Popular del Ayuntamiento de Tías para la defensa de viviendas a precios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asequibles.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1" w:after="0"/>
        <w:ind w:left="838" w:right="108" w:hanging="360"/>
        <w:jc w:val="both"/>
        <w:rPr>
          <w:sz w:val="24"/>
        </w:rPr>
      </w:pPr>
      <w:r>
        <w:rPr>
          <w:sz w:val="24"/>
        </w:rPr>
        <w:t>Número de expediente: 2024/00004612N. Amado Jesús Vizcaíno Eugenio, concejal del Coalición Canaria en el Ayuntamiento de Tías, y según lo dispuesto en el articulo 97.2 del Reglamento de Organización, Funcionamiento y Régimen Jurídico de las Entidades Locales, presenta el siguiente moción. Moción Plan de Fomento del Comercio</w:t>
      </w:r>
      <w:r>
        <w:rPr>
          <w:spacing w:val="-10"/>
          <w:sz w:val="24"/>
        </w:rPr>
        <w:t> </w:t>
      </w:r>
      <w:r>
        <w:rPr>
          <w:sz w:val="24"/>
        </w:rPr>
        <w:t>Local.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4"/>
        </w:rPr>
      </w:pPr>
      <w:r>
        <w:rPr>
          <w:sz w:val="24"/>
        </w:rPr>
        <w:t>Número Expediente: 2024/00005490Q.Marcial Nicolás Saavedra Sanginés, Concejal Unidas Si Podemos, presenta documento para llevar a pleno donde solicitan la adecuación al lenguaje inclusivo de los impresos, formularios, modelos normalizados y comunicaciones que figuren o se producen en las sedes electrónicas, centro directivos y organismos públicos así como registro municipal y (</w:t>
      </w:r>
      <w:r>
        <w:rPr>
          <w:spacing w:val="-1"/>
          <w:sz w:val="24"/>
        </w:rPr>
        <w:t> </w:t>
      </w:r>
      <w:r>
        <w:rPr>
          <w:sz w:val="24"/>
        </w:rPr>
        <w:t>S.A.C).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Número Expediente: 2024/00005815L. Solicitar la adhesión al Pacto Insular frente a los Discursos de Odio y el Fomento de la Visibilidad del Colectivo LGTBI+ en la modalidad de firma de la</w:t>
      </w:r>
      <w:r>
        <w:rPr>
          <w:spacing w:val="-1"/>
          <w:sz w:val="24"/>
        </w:rPr>
        <w:t> </w:t>
      </w:r>
      <w:r>
        <w:rPr>
          <w:sz w:val="24"/>
        </w:rPr>
        <w:t>Administración.</w:t>
      </w:r>
    </w:p>
    <w:p>
      <w:pPr>
        <w:pStyle w:val="BodyText"/>
      </w:pPr>
    </w:p>
    <w:p>
      <w:pPr>
        <w:pStyle w:val="Heading1"/>
        <w:ind w:left="118"/>
      </w:pPr>
      <w:r>
        <w:rPr/>
        <w:t>Parte de control 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21 de mayo de</w:t>
      </w:r>
      <w:r>
        <w:rPr>
          <w:spacing w:val="-2"/>
          <w:sz w:val="24"/>
        </w:rPr>
        <w:t> </w:t>
      </w:r>
      <w:r>
        <w:rPr>
          <w:sz w:val="24"/>
        </w:rPr>
        <w:t>2024.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4"/>
        </w:rPr>
      </w:pPr>
      <w:r>
        <w:rPr>
          <w:sz w:val="24"/>
        </w:rPr>
        <w:t>Número Expediente: 2024/00005633K.Plan de Acción de la Agenda Local Urbana 2030 del municipio de</w:t>
      </w:r>
      <w:r>
        <w:rPr>
          <w:spacing w:val="-1"/>
          <w:sz w:val="24"/>
        </w:rPr>
        <w:t> </w:t>
      </w:r>
      <w:r>
        <w:rPr>
          <w:sz w:val="24"/>
        </w:rPr>
        <w:t>Tías.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37" w:lineRule="auto" w:before="1" w:after="0"/>
        <w:ind w:left="838" w:right="110" w:hanging="360"/>
        <w:jc w:val="both"/>
        <w:rPr>
          <w:sz w:val="22"/>
        </w:rPr>
      </w:pPr>
      <w:r>
        <w:rPr>
          <w:sz w:val="22"/>
        </w:rPr>
        <w:t>Número de expediente: 2024/00005054V. EL GRUPO DEL PARTIDO POPULAR EN EL AYUNTAMIENTO DE TIAS SOLICITA LA COMPARERENCIA DEL SR ALCALDE PARA INFORME DEL III PLAN DE</w:t>
      </w:r>
      <w:r>
        <w:rPr>
          <w:spacing w:val="-4"/>
          <w:sz w:val="22"/>
        </w:rPr>
        <w:t> </w:t>
      </w:r>
      <w:r>
        <w:rPr>
          <w:sz w:val="22"/>
        </w:rPr>
        <w:t>MODERNIZACION.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  <w:rPr>
          <w:sz w:val="26"/>
        </w:rPr>
      </w:pPr>
    </w:p>
    <w:p>
      <w:pPr>
        <w:pStyle w:val="Heading1"/>
        <w:spacing w:before="218"/>
        <w:ind w:left="118"/>
      </w:pPr>
      <w:r>
        <w:rPr/>
        <w:t>Ruegos y preguntas: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40" w:lineRule="auto" w:before="0" w:after="0"/>
        <w:ind w:left="886" w:right="0" w:hanging="40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11"/>
        <w:ind w:left="118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festivos)</w:t>
      </w:r>
      <w:r>
        <w:rPr>
          <w:rFonts w:ascii="Arial" w:hAnsi="Arial"/>
          <w:sz w:val="22"/>
        </w:rPr>
        <w:t>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2"/>
        <w:rPr>
          <w:sz w:val="22"/>
        </w:rPr>
      </w:pPr>
    </w:p>
    <w:p>
      <w:pPr>
        <w:spacing w:line="218" w:lineRule="auto" w:before="0"/>
        <w:ind w:left="13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w w:val="105"/>
          <w:sz w:val="18"/>
        </w:rPr>
        <w:t>Documento</w:t>
      </w:r>
      <w:r>
        <w:rPr>
          <w:rFonts w:ascii="Arial" w:hAnsi="Arial"/>
          <w:spacing w:val="-17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firmado</w:t>
      </w:r>
      <w:r>
        <w:rPr>
          <w:rFonts w:ascii="Arial" w:hAnsi="Arial"/>
          <w:spacing w:val="-17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electrónicamente</w:t>
      </w:r>
      <w:r>
        <w:rPr>
          <w:rFonts w:ascii="Arial" w:hAnsi="Arial"/>
          <w:spacing w:val="-17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el día 13/06/2024 a las 10:24:42</w:t>
      </w:r>
      <w:r>
        <w:rPr>
          <w:rFonts w:ascii="Arial" w:hAnsi="Arial"/>
          <w:spacing w:val="-23"/>
          <w:w w:val="105"/>
          <w:sz w:val="18"/>
        </w:rPr>
        <w:t> </w:t>
      </w:r>
      <w:r>
        <w:rPr>
          <w:rFonts w:ascii="Arial" w:hAnsi="Arial"/>
          <w:w w:val="105"/>
          <w:sz w:val="18"/>
        </w:rPr>
        <w:t>por:</w:t>
      </w:r>
    </w:p>
    <w:p>
      <w:pPr>
        <w:spacing w:line="180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w w:val="105"/>
          <w:sz w:val="18"/>
        </w:rPr>
        <w:t>El Alcalde</w:t>
      </w:r>
    </w:p>
    <w:p>
      <w:pPr>
        <w:spacing w:line="197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w w:val="105"/>
          <w:sz w:val="18"/>
        </w:rPr>
        <w:t>Fdo.: JOSE JUAN CRUZ SAAVEDRA</w:t>
      </w:r>
    </w:p>
    <w:p>
      <w:pPr>
        <w:pStyle w:val="BodyText"/>
        <w:rPr>
          <w:rFonts w:ascii="Arial"/>
          <w:sz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spacing w:line="211" w:lineRule="auto" w:before="1"/>
        <w:ind w:left="308" w:right="71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Documento firmado electrónicamente el día 13/06/2024 a las 11:15:51 por</w:t>
      </w:r>
    </w:p>
    <w:p>
      <w:pPr>
        <w:spacing w:line="166" w:lineRule="exact" w:before="0"/>
        <w:ind w:left="308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El Secretario</w:t>
      </w:r>
    </w:p>
    <w:p>
      <w:pPr>
        <w:spacing w:line="184" w:lineRule="exact" w:before="0"/>
        <w:ind w:left="308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92" w:space="40"/>
        <w:col w:w="51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801600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800576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99552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3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15250363532763631057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9852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9750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12832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8026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8" w:right="110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2024-07-12T09:25:41Z</dcterms:created>
  <dcterms:modified xsi:type="dcterms:W3CDTF">2024-07-12T09:25:41Z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2024-07-12T00:00:00Z</vt:filetime>
  </property>
</Properties>
</file>