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pPr>
    </w:p>
    <w:p>
      <w:pPr>
        <w:spacing w:before="107"/>
        <w:ind w:left="180" w:right="0" w:firstLine="0"/>
        <w:jc w:val="left"/>
        <w:rPr>
          <w:rFonts w:ascii="Courier New" w:hAnsi="Courier New"/>
          <w:sz w:val="15"/>
        </w:rPr>
      </w:pPr>
      <w:r>
        <w:rPr>
          <w:rFonts w:ascii="Courier New" w:hAnsi="Courier New"/>
          <w:w w:val="105"/>
          <w:sz w:val="15"/>
        </w:rPr>
        <w:t>Decreto número: ALC/2024/328 de fecha 11/04/2024</w:t>
      </w:r>
    </w:p>
    <w:p>
      <w:pPr>
        <w:pStyle w:val="BodyText"/>
        <w:rPr>
          <w:rFonts w:ascii="Courier New"/>
          <w:sz w:val="20"/>
        </w:rPr>
      </w:pPr>
    </w:p>
    <w:p>
      <w:pPr>
        <w:pStyle w:val="BodyText"/>
        <w:rPr>
          <w:rFonts w:ascii="Courier New"/>
          <w:sz w:val="20"/>
        </w:rPr>
      </w:pPr>
    </w:p>
    <w:p>
      <w:pPr>
        <w:pStyle w:val="BodyText"/>
        <w:spacing w:before="4"/>
        <w:rPr>
          <w:rFonts w:ascii="Courier New"/>
          <w:sz w:val="16"/>
        </w:rPr>
      </w:pPr>
    </w:p>
    <w:p>
      <w:pPr>
        <w:pStyle w:val="BodyText"/>
        <w:spacing w:line="276" w:lineRule="auto" w:before="90"/>
        <w:ind w:left="117" w:right="107" w:firstLine="122"/>
        <w:jc w:val="both"/>
      </w:pPr>
      <w:r>
        <w:rPr/>
        <w:t>En virtud de las atribuciones que me confiere el artículo 21.1.c) de la Ley 7/1985, de 2 de abril y artículos 41.4) y 134.3 del RD 2568/1986, de 28 de noviembre, por el que se aprueba el Reglamento de Organización y Funcionamiento de las Entidades Locales, ROF, por la presente</w:t>
      </w:r>
    </w:p>
    <w:p>
      <w:pPr>
        <w:pStyle w:val="Heading1"/>
        <w:spacing w:before="200"/>
        <w:ind w:left="3957" w:right="3951"/>
        <w:jc w:val="center"/>
      </w:pPr>
      <w:r>
        <w:rPr/>
        <w:t>RESUELVO:</w:t>
      </w:r>
    </w:p>
    <w:p>
      <w:pPr>
        <w:pStyle w:val="BodyText"/>
        <w:spacing w:before="11"/>
        <w:rPr>
          <w:b/>
          <w:sz w:val="20"/>
        </w:rPr>
      </w:pPr>
    </w:p>
    <w:p>
      <w:pPr>
        <w:pStyle w:val="ListParagraph"/>
        <w:numPr>
          <w:ilvl w:val="0"/>
          <w:numId w:val="1"/>
        </w:numPr>
        <w:tabs>
          <w:tab w:pos="299" w:val="left" w:leader="none"/>
        </w:tabs>
        <w:spacing w:line="276" w:lineRule="auto" w:before="0" w:after="0"/>
        <w:ind w:left="117" w:right="108" w:firstLine="0"/>
        <w:jc w:val="both"/>
        <w:rPr>
          <w:sz w:val="24"/>
        </w:rPr>
      </w:pPr>
      <w:r>
        <w:rPr>
          <w:b/>
          <w:sz w:val="24"/>
        </w:rPr>
        <w:t>Primero</w:t>
      </w:r>
      <w:r>
        <w:rPr>
          <w:sz w:val="24"/>
        </w:rPr>
        <w:t>.- Convocar al </w:t>
      </w:r>
      <w:r>
        <w:rPr>
          <w:b/>
          <w:sz w:val="24"/>
        </w:rPr>
        <w:t>Pleno </w:t>
      </w:r>
      <w:r>
        <w:rPr>
          <w:sz w:val="24"/>
        </w:rPr>
        <w:t>con objeto de celebrar </w:t>
      </w:r>
      <w:r>
        <w:rPr>
          <w:b/>
          <w:sz w:val="24"/>
        </w:rPr>
        <w:t>sesión ordinaria </w:t>
      </w:r>
      <w:r>
        <w:rPr>
          <w:sz w:val="24"/>
        </w:rPr>
        <w:t>que tendrá lugar en el </w:t>
      </w:r>
      <w:r>
        <w:rPr>
          <w:b/>
          <w:sz w:val="24"/>
        </w:rPr>
        <w:t>Salón de Plenos de la Casa Consistorial, el día 16 de abril de 2024, a las 08:30 horas</w:t>
      </w:r>
      <w:r>
        <w:rPr>
          <w:sz w:val="24"/>
        </w:rPr>
        <w:t>, con el siguiente,</w:t>
      </w:r>
    </w:p>
    <w:p>
      <w:pPr>
        <w:pStyle w:val="BodyText"/>
        <w:spacing w:before="6"/>
        <w:rPr>
          <w:sz w:val="9"/>
        </w:rPr>
      </w:pPr>
    </w:p>
    <w:p>
      <w:pPr>
        <w:pStyle w:val="Heading1"/>
        <w:spacing w:before="90"/>
        <w:ind w:left="3958" w:right="3951"/>
        <w:jc w:val="center"/>
      </w:pPr>
      <w:r>
        <w:rPr/>
        <w:t>ORDEN DEL DÍA</w:t>
      </w:r>
    </w:p>
    <w:p>
      <w:pPr>
        <w:pStyle w:val="BodyText"/>
        <w:rPr>
          <w:b/>
          <w:sz w:val="21"/>
        </w:rPr>
      </w:pPr>
    </w:p>
    <w:p>
      <w:pPr>
        <w:spacing w:before="0"/>
        <w:ind w:left="117" w:right="0" w:firstLine="0"/>
        <w:jc w:val="left"/>
        <w:rPr>
          <w:b/>
          <w:sz w:val="24"/>
        </w:rPr>
      </w:pPr>
      <w:r>
        <w:rPr>
          <w:b/>
          <w:sz w:val="24"/>
        </w:rPr>
        <w:t>Parte decisoria:</w:t>
      </w:r>
    </w:p>
    <w:p>
      <w:pPr>
        <w:pStyle w:val="BodyText"/>
        <w:spacing w:before="2"/>
        <w:rPr>
          <w:b/>
          <w:sz w:val="16"/>
        </w:rPr>
      </w:pPr>
    </w:p>
    <w:p>
      <w:pPr>
        <w:pStyle w:val="ListParagraph"/>
        <w:numPr>
          <w:ilvl w:val="1"/>
          <w:numId w:val="1"/>
        </w:numPr>
        <w:tabs>
          <w:tab w:pos="827" w:val="left" w:leader="none"/>
        </w:tabs>
        <w:spacing w:line="240" w:lineRule="auto" w:before="90" w:after="0"/>
        <w:ind w:left="837" w:right="110" w:hanging="360"/>
        <w:jc w:val="both"/>
        <w:rPr>
          <w:sz w:val="24"/>
        </w:rPr>
      </w:pPr>
      <w:r>
        <w:rPr>
          <w:sz w:val="24"/>
        </w:rPr>
        <w:t>Aprobación de las actas de las sesiones anteriores: Acta Pleno de fecha 19-03-2024, número de orden 03/2024 (sesión</w:t>
      </w:r>
      <w:r>
        <w:rPr>
          <w:spacing w:val="-1"/>
          <w:sz w:val="24"/>
        </w:rPr>
        <w:t> </w:t>
      </w:r>
      <w:r>
        <w:rPr>
          <w:sz w:val="24"/>
        </w:rPr>
        <w:t>ordinaria).</w:t>
      </w:r>
    </w:p>
    <w:p>
      <w:pPr>
        <w:pStyle w:val="BodyText"/>
      </w:pPr>
    </w:p>
    <w:p>
      <w:pPr>
        <w:pStyle w:val="ListParagraph"/>
        <w:numPr>
          <w:ilvl w:val="1"/>
          <w:numId w:val="1"/>
        </w:numPr>
        <w:tabs>
          <w:tab w:pos="827" w:val="left" w:leader="none"/>
        </w:tabs>
        <w:spacing w:line="240" w:lineRule="auto" w:before="0" w:after="0"/>
        <w:ind w:left="837" w:right="110" w:hanging="360"/>
        <w:jc w:val="both"/>
        <w:rPr>
          <w:sz w:val="24"/>
        </w:rPr>
      </w:pPr>
      <w:r>
        <w:rPr>
          <w:sz w:val="24"/>
        </w:rPr>
        <w:t>Número de expediente: 2024/00002421Y. SOLICITUD DE ACUERDO SOBRE LAS FIESTAS LOCALES DETERMINADAS PARA</w:t>
      </w:r>
      <w:r>
        <w:rPr>
          <w:spacing w:val="-3"/>
          <w:sz w:val="24"/>
        </w:rPr>
        <w:t> </w:t>
      </w:r>
      <w:r>
        <w:rPr>
          <w:sz w:val="24"/>
        </w:rPr>
        <w:t>2025</w:t>
      </w:r>
    </w:p>
    <w:p>
      <w:pPr>
        <w:pStyle w:val="BodyText"/>
      </w:pPr>
    </w:p>
    <w:p>
      <w:pPr>
        <w:pStyle w:val="Heading1"/>
      </w:pPr>
      <w:r>
        <w:rPr/>
        <w:t>Parte declarativa:</w:t>
      </w:r>
    </w:p>
    <w:p>
      <w:pPr>
        <w:pStyle w:val="BodyText"/>
        <w:rPr>
          <w:b/>
          <w:sz w:val="21"/>
        </w:rPr>
      </w:pPr>
    </w:p>
    <w:p>
      <w:pPr>
        <w:pStyle w:val="ListParagraph"/>
        <w:numPr>
          <w:ilvl w:val="1"/>
          <w:numId w:val="1"/>
        </w:numPr>
        <w:tabs>
          <w:tab w:pos="827" w:val="left" w:leader="none"/>
        </w:tabs>
        <w:spacing w:line="240" w:lineRule="auto" w:before="0" w:after="0"/>
        <w:ind w:left="837" w:right="110" w:hanging="360"/>
        <w:jc w:val="both"/>
        <w:rPr>
          <w:sz w:val="24"/>
        </w:rPr>
      </w:pPr>
      <w:r>
        <w:rPr>
          <w:sz w:val="24"/>
        </w:rPr>
        <w:t>Número de expediente: 2024/00002584P. Presentar moción del Concejal CC pleno de Marzo para ADECUACIÓN EL FONDEADERO Y MERCADO</w:t>
      </w:r>
      <w:r>
        <w:rPr>
          <w:spacing w:val="-10"/>
          <w:sz w:val="24"/>
        </w:rPr>
        <w:t> </w:t>
      </w:r>
      <w:r>
        <w:rPr>
          <w:sz w:val="24"/>
        </w:rPr>
        <w:t>LOCAL.</w:t>
      </w:r>
    </w:p>
    <w:p>
      <w:pPr>
        <w:pStyle w:val="BodyText"/>
      </w:pPr>
    </w:p>
    <w:p>
      <w:pPr>
        <w:pStyle w:val="ListParagraph"/>
        <w:numPr>
          <w:ilvl w:val="1"/>
          <w:numId w:val="1"/>
        </w:numPr>
        <w:tabs>
          <w:tab w:pos="827" w:val="left" w:leader="none"/>
        </w:tabs>
        <w:spacing w:line="240" w:lineRule="auto" w:before="0" w:after="0"/>
        <w:ind w:left="837" w:right="107" w:hanging="360"/>
        <w:jc w:val="both"/>
        <w:rPr>
          <w:sz w:val="24"/>
        </w:rPr>
      </w:pPr>
      <w:r>
        <w:rPr>
          <w:sz w:val="24"/>
        </w:rPr>
        <w:t>Número de expediente: 2024/00003322X. Moción de Maria Esther Tamargo Acebal, Concejal de Vox, propuesta de acuerdo que nuestro Ayuntamiento establezca contacto con la empresa Hispasat, para que haga estudio de las posibilidad para la implantación</w:t>
      </w:r>
      <w:r>
        <w:rPr>
          <w:spacing w:val="8"/>
          <w:sz w:val="24"/>
        </w:rPr>
        <w:t> </w:t>
      </w:r>
      <w:r>
        <w:rPr>
          <w:sz w:val="24"/>
        </w:rPr>
        <w:t>de servicio de internet de alta velocidad, e instalar a que solicite los fondos Next Geneeration para 2024, como ha hecho en muchas otras CCAA, con la medición del ayuntamiento </w:t>
      </w:r>
      <w:r>
        <w:rPr>
          <w:spacing w:val="-13"/>
          <w:sz w:val="24"/>
        </w:rPr>
        <w:t>y </w:t>
      </w:r>
      <w:r>
        <w:rPr>
          <w:sz w:val="24"/>
        </w:rPr>
        <w:t>diputaciones</w:t>
      </w:r>
      <w:r>
        <w:rPr>
          <w:spacing w:val="-1"/>
          <w:sz w:val="24"/>
        </w:rPr>
        <w:t> </w:t>
      </w:r>
      <w:r>
        <w:rPr>
          <w:sz w:val="24"/>
        </w:rPr>
        <w:t>provinciales.</w:t>
      </w:r>
    </w:p>
    <w:p>
      <w:pPr>
        <w:pStyle w:val="BodyText"/>
      </w:pPr>
    </w:p>
    <w:p>
      <w:pPr>
        <w:pStyle w:val="ListParagraph"/>
        <w:numPr>
          <w:ilvl w:val="1"/>
          <w:numId w:val="1"/>
        </w:numPr>
        <w:tabs>
          <w:tab w:pos="827" w:val="left" w:leader="none"/>
        </w:tabs>
        <w:spacing w:line="240" w:lineRule="auto" w:before="0" w:after="0"/>
        <w:ind w:left="837" w:right="109" w:hanging="360"/>
        <w:jc w:val="both"/>
        <w:rPr>
          <w:sz w:val="24"/>
        </w:rPr>
      </w:pPr>
      <w:r>
        <w:rPr>
          <w:sz w:val="24"/>
        </w:rPr>
        <w:t>Número de expediente: 2024/00003323B. Moción del Partido Popular para instar al Gobierno de municipal a la creación de una nueva área destinada a una cancha deportiva multiusos, circuito biosaludable, parque infantil y merendero en</w:t>
      </w:r>
      <w:r>
        <w:rPr>
          <w:spacing w:val="-2"/>
          <w:sz w:val="24"/>
        </w:rPr>
        <w:t> </w:t>
      </w:r>
      <w:r>
        <w:rPr>
          <w:sz w:val="24"/>
        </w:rPr>
        <w:t>Conil.</w:t>
      </w:r>
    </w:p>
    <w:p>
      <w:pPr>
        <w:pStyle w:val="BodyText"/>
      </w:pPr>
    </w:p>
    <w:p>
      <w:pPr>
        <w:pStyle w:val="ListParagraph"/>
        <w:numPr>
          <w:ilvl w:val="1"/>
          <w:numId w:val="1"/>
        </w:numPr>
        <w:tabs>
          <w:tab w:pos="827" w:val="left" w:leader="none"/>
        </w:tabs>
        <w:spacing w:line="240" w:lineRule="auto" w:before="0" w:after="0"/>
        <w:ind w:left="837" w:right="107" w:hanging="360"/>
        <w:jc w:val="both"/>
        <w:rPr>
          <w:sz w:val="24"/>
        </w:rPr>
      </w:pPr>
      <w:r>
        <w:rPr>
          <w:sz w:val="24"/>
        </w:rPr>
        <w:t>Número de expediente: 2024/00003324N. Moción del Grupo Popular al Pleno del Ayuntamiento de Tías para activar los trámites para poner en marcha un sistema de recogida de aceite en puntos limpios fijos, instalar en el municipios contenedores para la recogida del aceite doméstico usado y realizar una campaña informativa y de concienciación de la población.</w:t>
      </w:r>
    </w:p>
    <w:p>
      <w:pPr>
        <w:spacing w:after="0" w:line="240" w:lineRule="auto"/>
        <w:jc w:val="both"/>
        <w:rPr>
          <w:sz w:val="24"/>
        </w:rPr>
        <w:sectPr>
          <w:headerReference w:type="default" r:id="rId5"/>
          <w:footerReference w:type="default" r:id="rId6"/>
          <w:type w:val="continuous"/>
          <w:pgSz w:w="11910" w:h="16840"/>
          <w:pgMar w:header="326" w:footer="1048" w:top="1660" w:bottom="1240" w:left="1300" w:right="740"/>
          <w:pgNumType w:start="1"/>
        </w:sectPr>
      </w:pPr>
    </w:p>
    <w:p>
      <w:pPr>
        <w:pStyle w:val="ListParagraph"/>
        <w:numPr>
          <w:ilvl w:val="1"/>
          <w:numId w:val="1"/>
        </w:numPr>
        <w:tabs>
          <w:tab w:pos="827" w:val="left" w:leader="none"/>
        </w:tabs>
        <w:spacing w:line="240" w:lineRule="auto" w:before="111" w:after="0"/>
        <w:ind w:left="838" w:right="107" w:hanging="360"/>
        <w:jc w:val="both"/>
        <w:rPr>
          <w:sz w:val="24"/>
        </w:rPr>
      </w:pPr>
      <w:r>
        <w:rPr>
          <w:sz w:val="24"/>
        </w:rPr>
        <w:t>Número de expediente: 2024/00003166S. El Grupo Municipal Socialista en el Ayuntamiento de TIAS solicita al Pleno del Ayuntamiento la adopción del siguiente acuerdo: “Instar al Gobierno de la Comunidad Autónoma de Canarias a redactar un estudio donde se analice el precio de compra o alquiler de viviendas de los últimos 5 años y la cuota de la hipoteca, también si los gastos del alquiler superan el 30% de los ingresos o rentas medios de los hogares y contemple, además, otros indicadores y variables necesarias </w:t>
      </w:r>
      <w:r>
        <w:rPr>
          <w:spacing w:val="-4"/>
          <w:sz w:val="24"/>
        </w:rPr>
        <w:t>que </w:t>
      </w:r>
      <w:r>
        <w:rPr>
          <w:sz w:val="24"/>
        </w:rPr>
        <w:t>diagnostiquen la falta de oferta insuficiente de vivienda para la ciudadanía tanto en zonas urbanas como rurales. Si el fruto de dicho estudio arroja que esa zona cumple con los requisitos estipulados del artículo 18 de la Ley 12/2023, de 24 de mayo, por el derecho a la vivienda, y DECLARE a este municipio como zona de mercado residencial tensionado, y de esta forma, se aplique el índice de precios de referencia que prevé la Ley 12/2023, de 24 de mayo, por el derecho a la</w:t>
      </w:r>
      <w:r>
        <w:rPr>
          <w:spacing w:val="-2"/>
          <w:sz w:val="24"/>
        </w:rPr>
        <w:t> </w:t>
      </w:r>
      <w:r>
        <w:rPr>
          <w:sz w:val="24"/>
        </w:rPr>
        <w:t>vivienda”.</w:t>
      </w:r>
    </w:p>
    <w:p>
      <w:pPr>
        <w:pStyle w:val="BodyText"/>
        <w:rPr>
          <w:sz w:val="26"/>
        </w:rPr>
      </w:pPr>
    </w:p>
    <w:p>
      <w:pPr>
        <w:pStyle w:val="Heading1"/>
        <w:spacing w:before="218"/>
        <w:ind w:left="118"/>
      </w:pPr>
      <w:r>
        <w:rPr/>
        <w:t>Parte de control y fiscalización:</w:t>
      </w:r>
    </w:p>
    <w:p>
      <w:pPr>
        <w:pStyle w:val="BodyText"/>
        <w:rPr>
          <w:b/>
          <w:sz w:val="21"/>
        </w:rPr>
      </w:pPr>
    </w:p>
    <w:p>
      <w:pPr>
        <w:pStyle w:val="ListParagraph"/>
        <w:numPr>
          <w:ilvl w:val="1"/>
          <w:numId w:val="1"/>
        </w:numPr>
        <w:tabs>
          <w:tab w:pos="827" w:val="left" w:leader="none"/>
        </w:tabs>
        <w:spacing w:line="240" w:lineRule="auto" w:before="0" w:after="0"/>
        <w:ind w:left="838" w:right="222" w:hanging="360"/>
        <w:jc w:val="both"/>
        <w:rPr>
          <w:sz w:val="24"/>
        </w:rPr>
      </w:pPr>
      <w:r>
        <w:rPr>
          <w:sz w:val="24"/>
        </w:rPr>
        <w:t>Dación de cuentas de las resoluciones del Alcalde adoptadas desde la última sesión plenaria ordinaria, de fecha 19 de marzo de</w:t>
      </w:r>
      <w:r>
        <w:rPr>
          <w:spacing w:val="-1"/>
          <w:sz w:val="24"/>
        </w:rPr>
        <w:t> </w:t>
      </w:r>
      <w:r>
        <w:rPr>
          <w:sz w:val="24"/>
        </w:rPr>
        <w:t>2024.</w:t>
      </w:r>
    </w:p>
    <w:p>
      <w:pPr>
        <w:pStyle w:val="BodyText"/>
      </w:pPr>
    </w:p>
    <w:p>
      <w:pPr>
        <w:pStyle w:val="ListParagraph"/>
        <w:numPr>
          <w:ilvl w:val="1"/>
          <w:numId w:val="1"/>
        </w:numPr>
        <w:tabs>
          <w:tab w:pos="827" w:val="left" w:leader="none"/>
        </w:tabs>
        <w:spacing w:line="240" w:lineRule="auto" w:before="0" w:after="0"/>
        <w:ind w:left="826" w:right="0" w:hanging="349"/>
        <w:jc w:val="left"/>
        <w:rPr>
          <w:sz w:val="24"/>
        </w:rPr>
      </w:pPr>
      <w:r>
        <w:rPr>
          <w:sz w:val="24"/>
        </w:rPr>
        <w:t>Asuntos no incluidos en el Orden del</w:t>
      </w:r>
      <w:r>
        <w:rPr>
          <w:spacing w:val="-2"/>
          <w:sz w:val="24"/>
        </w:rPr>
        <w:t> </w:t>
      </w:r>
      <w:r>
        <w:rPr>
          <w:sz w:val="24"/>
        </w:rPr>
        <w:t>día.</w:t>
      </w:r>
    </w:p>
    <w:p>
      <w:pPr>
        <w:pStyle w:val="BodyText"/>
      </w:pPr>
    </w:p>
    <w:p>
      <w:pPr>
        <w:pStyle w:val="Heading1"/>
        <w:ind w:left="118"/>
      </w:pPr>
      <w:r>
        <w:rPr/>
        <w:t>Ruegos y preguntas:</w:t>
      </w:r>
    </w:p>
    <w:p>
      <w:pPr>
        <w:pStyle w:val="BodyText"/>
        <w:rPr>
          <w:b/>
        </w:rPr>
      </w:pPr>
    </w:p>
    <w:p>
      <w:pPr>
        <w:pStyle w:val="ListParagraph"/>
        <w:numPr>
          <w:ilvl w:val="1"/>
          <w:numId w:val="1"/>
        </w:numPr>
        <w:tabs>
          <w:tab w:pos="827" w:val="left" w:leader="none"/>
        </w:tabs>
        <w:spacing w:line="240" w:lineRule="auto" w:before="0" w:after="0"/>
        <w:ind w:left="826" w:right="0" w:hanging="349"/>
        <w:jc w:val="left"/>
        <w:rPr>
          <w:sz w:val="24"/>
        </w:rPr>
      </w:pPr>
      <w:r>
        <w:rPr>
          <w:sz w:val="24"/>
        </w:rPr>
        <w:t>Ruegos y preguntas.</w:t>
      </w:r>
    </w:p>
    <w:p>
      <w:pPr>
        <w:pStyle w:val="BodyText"/>
        <w:rPr>
          <w:sz w:val="26"/>
        </w:rPr>
      </w:pPr>
    </w:p>
    <w:p>
      <w:pPr>
        <w:pStyle w:val="BodyText"/>
        <w:rPr>
          <w:sz w:val="22"/>
        </w:rPr>
      </w:pPr>
    </w:p>
    <w:p>
      <w:pPr>
        <w:pStyle w:val="ListParagraph"/>
        <w:numPr>
          <w:ilvl w:val="0"/>
          <w:numId w:val="1"/>
        </w:numPr>
        <w:tabs>
          <w:tab w:pos="279" w:val="left" w:leader="none"/>
        </w:tabs>
        <w:spacing w:line="240" w:lineRule="auto" w:before="0" w:after="0"/>
        <w:ind w:left="118" w:right="108" w:firstLine="0"/>
        <w:jc w:val="both"/>
        <w:rPr>
          <w:sz w:val="24"/>
        </w:rPr>
      </w:pPr>
      <w:r>
        <w:rPr>
          <w:b/>
          <w:sz w:val="24"/>
        </w:rPr>
        <w:t>Segundo</w:t>
      </w:r>
      <w:r>
        <w:rPr>
          <w:sz w:val="24"/>
        </w:rPr>
        <w:t>.- 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 Administrativo de Las Palmas, en el plazo de dos meses, a contar desde el día siguiente al de la recepción de la presente notificación, de conformidad con el artículo 46 de la Ley 29/1998, de 13 de julio, de la Jurisdicción</w:t>
      </w:r>
      <w:r>
        <w:rPr>
          <w:spacing w:val="-2"/>
          <w:sz w:val="24"/>
        </w:rPr>
        <w:t> </w:t>
      </w:r>
      <w:r>
        <w:rPr>
          <w:sz w:val="24"/>
        </w:rPr>
        <w:t>Contencioso-Administrativa.</w:t>
      </w:r>
    </w:p>
    <w:p>
      <w:pPr>
        <w:pStyle w:val="BodyText"/>
        <w:ind w:left="118" w:right="108"/>
        <w:jc w:val="both"/>
      </w:pPr>
      <w:r>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pPr>
        <w:pStyle w:val="BodyText"/>
        <w:rPr>
          <w:sz w:val="26"/>
        </w:rPr>
      </w:pPr>
    </w:p>
    <w:p>
      <w:pPr>
        <w:pStyle w:val="BodyText"/>
        <w:rPr>
          <w:sz w:val="22"/>
        </w:rPr>
      </w:pPr>
    </w:p>
    <w:p>
      <w:pPr>
        <w:pStyle w:val="BodyText"/>
        <w:ind w:left="118" w:right="108"/>
        <w:jc w:val="both"/>
        <w:rPr>
          <w:rFonts w:ascii="Arial" w:hAnsi="Arial"/>
          <w:sz w:val="22"/>
        </w:rPr>
      </w:pPr>
      <w:r>
        <w:rPr>
          <w:b/>
        </w:rPr>
        <w:t>-Tercero.- </w:t>
      </w:r>
      <w:r>
        <w:rPr/>
        <w:t>Que la presente convocatoria sea debidamente notificada a los miembros de este órgano, y a la persona titular de la Intervención General, procediéndose a su publicación en el Tablón de Anuncios del Ayuntamiento y en la sede electrónica municipal. La documentación de los asuntos incluidos en el orden del día se encuentra para su examen, en la Secretaría General, en horario de 8:30 horas a 14:00 horas, de lunes a viernes (no festivos</w:t>
      </w:r>
      <w:r>
        <w:rPr>
          <w:rFonts w:ascii="Arial" w:hAnsi="Arial"/>
          <w:sz w:val="22"/>
        </w:rPr>
        <w:t>).</w:t>
      </w:r>
    </w:p>
    <w:p>
      <w:pPr>
        <w:pStyle w:val="BodyText"/>
        <w:ind w:left="118" w:right="110" w:firstLine="61"/>
        <w:jc w:val="both"/>
      </w:pPr>
      <w:r>
        <w:rPr/>
        <w:t>Lo manda y firma el Alcalde del Ayuntamiento de Tías, don José Juan Cruz Saavedra, de lo que como Secretario doy fe.</w:t>
      </w:r>
    </w:p>
    <w:p>
      <w:pPr>
        <w:spacing w:after="0"/>
        <w:jc w:val="both"/>
        <w:sectPr>
          <w:pgSz w:w="11910" w:h="16840"/>
          <w:pgMar w:header="326" w:footer="1048" w:top="1660" w:bottom="1240" w:left="1300" w:right="740"/>
        </w:sectPr>
      </w:pPr>
    </w:p>
    <w:p>
      <w:pPr>
        <w:pStyle w:val="BodyText"/>
        <w:spacing w:before="111"/>
        <w:ind w:left="118"/>
      </w:pPr>
      <w:r>
        <w:rPr/>
        <w:t>En Tías (Lanzarote),</w:t>
      </w:r>
    </w:p>
    <w:p>
      <w:pPr>
        <w:pStyle w:val="BodyText"/>
        <w:rPr>
          <w:sz w:val="20"/>
        </w:rPr>
      </w:pPr>
    </w:p>
    <w:p>
      <w:pPr>
        <w:pStyle w:val="BodyText"/>
        <w:rPr>
          <w:sz w:val="20"/>
        </w:rPr>
      </w:pPr>
    </w:p>
    <w:p>
      <w:pPr>
        <w:spacing w:after="0"/>
        <w:rPr>
          <w:sz w:val="20"/>
        </w:rPr>
        <w:sectPr>
          <w:pgSz w:w="11910" w:h="16840"/>
          <w:pgMar w:header="326" w:footer="1048" w:top="1660" w:bottom="1240" w:left="1300" w:right="740"/>
        </w:sectPr>
      </w:pPr>
    </w:p>
    <w:p>
      <w:pPr>
        <w:pStyle w:val="BodyText"/>
        <w:rPr>
          <w:sz w:val="23"/>
        </w:rPr>
      </w:pPr>
    </w:p>
    <w:p>
      <w:pPr>
        <w:spacing w:line="213" w:lineRule="auto" w:before="0"/>
        <w:ind w:left="1380" w:right="0" w:firstLine="0"/>
        <w:jc w:val="left"/>
        <w:rPr>
          <w:rFonts w:ascii="Arial" w:hAnsi="Arial"/>
          <w:sz w:val="18"/>
        </w:rPr>
      </w:pPr>
      <w:r>
        <w:rPr>
          <w:rFonts w:ascii="Arial" w:hAnsi="Arial"/>
          <w:sz w:val="18"/>
        </w:rPr>
        <w:t>Documento firmado electrónicamente el día 11/04/2024 a las 9:12:43 por:</w:t>
      </w:r>
    </w:p>
    <w:p>
      <w:pPr>
        <w:spacing w:line="176" w:lineRule="exact" w:before="0"/>
        <w:ind w:left="1380" w:right="0" w:firstLine="0"/>
        <w:jc w:val="left"/>
        <w:rPr>
          <w:rFonts w:ascii="Arial"/>
          <w:sz w:val="18"/>
        </w:rPr>
      </w:pPr>
      <w:r>
        <w:rPr>
          <w:rFonts w:ascii="Arial"/>
          <w:sz w:val="18"/>
        </w:rPr>
        <w:t>El Alcalde</w:t>
      </w:r>
    </w:p>
    <w:p>
      <w:pPr>
        <w:spacing w:line="195" w:lineRule="exact" w:before="0"/>
        <w:ind w:left="1380" w:right="0" w:firstLine="0"/>
        <w:jc w:val="left"/>
        <w:rPr>
          <w:rFonts w:ascii="Arial"/>
          <w:sz w:val="18"/>
        </w:rPr>
      </w:pPr>
      <w:r>
        <w:rPr>
          <w:rFonts w:ascii="Arial"/>
          <w:sz w:val="18"/>
        </w:rPr>
        <w:t>Fdo.: JOSE JUAN CRUZ SAAVEDRA</w:t>
      </w:r>
    </w:p>
    <w:p>
      <w:pPr>
        <w:pStyle w:val="BodyText"/>
        <w:spacing w:before="4"/>
        <w:rPr>
          <w:rFonts w:ascii="Arial"/>
          <w:sz w:val="21"/>
        </w:rPr>
      </w:pPr>
      <w:r>
        <w:rPr/>
        <w:br w:type="column"/>
      </w:r>
      <w:r>
        <w:rPr>
          <w:rFonts w:ascii="Arial"/>
          <w:sz w:val="21"/>
        </w:rPr>
      </w:r>
    </w:p>
    <w:p>
      <w:pPr>
        <w:spacing w:line="154" w:lineRule="exact" w:before="0"/>
        <w:ind w:left="375" w:right="0" w:firstLine="0"/>
        <w:jc w:val="left"/>
        <w:rPr>
          <w:rFonts w:ascii="Arial"/>
          <w:sz w:val="14"/>
        </w:rPr>
      </w:pPr>
      <w:r>
        <w:rPr>
          <w:rFonts w:ascii="Arial"/>
          <w:w w:val="105"/>
          <w:sz w:val="14"/>
        </w:rPr>
        <w:t>ISOF</w:t>
      </w:r>
      <w:r>
        <w:rPr>
          <w:rFonts w:ascii="Arial"/>
          <w:spacing w:val="-11"/>
          <w:w w:val="105"/>
          <w:sz w:val="14"/>
        </w:rPr>
        <w:t> </w:t>
      </w:r>
      <w:r>
        <w:rPr>
          <w:rFonts w:ascii="Arial"/>
          <w:w w:val="105"/>
          <w:sz w:val="14"/>
        </w:rPr>
        <w:t>01/2024,</w:t>
      </w:r>
      <w:r>
        <w:rPr>
          <w:rFonts w:ascii="Arial"/>
          <w:spacing w:val="-11"/>
          <w:w w:val="105"/>
          <w:sz w:val="14"/>
        </w:rPr>
        <w:t> </w:t>
      </w:r>
      <w:r>
        <w:rPr>
          <w:rFonts w:ascii="Arial"/>
          <w:w w:val="105"/>
          <w:sz w:val="14"/>
        </w:rPr>
        <w:t>ISOF</w:t>
      </w:r>
      <w:r>
        <w:rPr>
          <w:rFonts w:ascii="Arial"/>
          <w:spacing w:val="-11"/>
          <w:w w:val="105"/>
          <w:sz w:val="14"/>
        </w:rPr>
        <w:t> </w:t>
      </w:r>
      <w:r>
        <w:rPr>
          <w:rFonts w:ascii="Arial"/>
          <w:w w:val="105"/>
          <w:sz w:val="14"/>
        </w:rPr>
        <w:t>02/2024</w:t>
      </w:r>
    </w:p>
    <w:p>
      <w:pPr>
        <w:spacing w:line="218" w:lineRule="auto" w:before="5"/>
        <w:ind w:left="375" w:right="1313" w:firstLine="0"/>
        <w:jc w:val="left"/>
        <w:rPr>
          <w:rFonts w:ascii="Arial" w:hAnsi="Arial"/>
          <w:sz w:val="14"/>
        </w:rPr>
      </w:pPr>
      <w:r>
        <w:rPr>
          <w:rFonts w:ascii="Arial" w:hAnsi="Arial"/>
          <w:w w:val="105"/>
          <w:sz w:val="14"/>
        </w:rPr>
        <w:t>Documento</w:t>
      </w:r>
      <w:r>
        <w:rPr>
          <w:rFonts w:ascii="Arial" w:hAnsi="Arial"/>
          <w:spacing w:val="-11"/>
          <w:w w:val="105"/>
          <w:sz w:val="14"/>
        </w:rPr>
        <w:t> </w:t>
      </w:r>
      <w:r>
        <w:rPr>
          <w:rFonts w:ascii="Arial" w:hAnsi="Arial"/>
          <w:w w:val="105"/>
          <w:sz w:val="14"/>
        </w:rPr>
        <w:t>firmado</w:t>
      </w:r>
      <w:r>
        <w:rPr>
          <w:rFonts w:ascii="Arial" w:hAnsi="Arial"/>
          <w:spacing w:val="-11"/>
          <w:w w:val="105"/>
          <w:sz w:val="14"/>
        </w:rPr>
        <w:t> </w:t>
      </w:r>
      <w:r>
        <w:rPr>
          <w:rFonts w:ascii="Arial" w:hAnsi="Arial"/>
          <w:w w:val="105"/>
          <w:sz w:val="14"/>
        </w:rPr>
        <w:t>electrónicamente</w:t>
      </w:r>
      <w:r>
        <w:rPr>
          <w:rFonts w:ascii="Arial" w:hAnsi="Arial"/>
          <w:spacing w:val="-10"/>
          <w:w w:val="105"/>
          <w:sz w:val="14"/>
        </w:rPr>
        <w:t> </w:t>
      </w:r>
      <w:r>
        <w:rPr>
          <w:rFonts w:ascii="Arial" w:hAnsi="Arial"/>
          <w:w w:val="105"/>
          <w:sz w:val="14"/>
        </w:rPr>
        <w:t>el</w:t>
      </w:r>
      <w:r>
        <w:rPr>
          <w:rFonts w:ascii="Arial" w:hAnsi="Arial"/>
          <w:spacing w:val="-11"/>
          <w:w w:val="105"/>
          <w:sz w:val="14"/>
        </w:rPr>
        <w:t> </w:t>
      </w:r>
      <w:r>
        <w:rPr>
          <w:rFonts w:ascii="Arial" w:hAnsi="Arial"/>
          <w:w w:val="105"/>
          <w:sz w:val="14"/>
        </w:rPr>
        <w:t>día 11/04/2024 a las 11:16:49</w:t>
      </w:r>
      <w:r>
        <w:rPr>
          <w:rFonts w:ascii="Arial" w:hAnsi="Arial"/>
          <w:spacing w:val="-9"/>
          <w:w w:val="105"/>
          <w:sz w:val="14"/>
        </w:rPr>
        <w:t> </w:t>
      </w:r>
      <w:r>
        <w:rPr>
          <w:rFonts w:ascii="Arial" w:hAnsi="Arial"/>
          <w:w w:val="105"/>
          <w:sz w:val="14"/>
        </w:rPr>
        <w:t>por</w:t>
      </w:r>
    </w:p>
    <w:p>
      <w:pPr>
        <w:spacing w:line="141" w:lineRule="exact" w:before="0"/>
        <w:ind w:left="375" w:right="0" w:firstLine="0"/>
        <w:jc w:val="left"/>
        <w:rPr>
          <w:rFonts w:ascii="Arial"/>
          <w:sz w:val="14"/>
        </w:rPr>
      </w:pPr>
      <w:r>
        <w:rPr>
          <w:rFonts w:ascii="Arial"/>
          <w:w w:val="105"/>
          <w:sz w:val="14"/>
        </w:rPr>
        <w:t>El Secretario</w:t>
      </w:r>
    </w:p>
    <w:p>
      <w:pPr>
        <w:spacing w:line="154" w:lineRule="exact" w:before="0"/>
        <w:ind w:left="375" w:right="0" w:firstLine="0"/>
        <w:jc w:val="left"/>
        <w:rPr>
          <w:rFonts w:ascii="Arial"/>
          <w:sz w:val="14"/>
        </w:rPr>
      </w:pPr>
      <w:r>
        <w:rPr>
          <w:rFonts w:ascii="Arial"/>
          <w:w w:val="105"/>
          <w:sz w:val="14"/>
        </w:rPr>
        <w:t>Fdo.:FERNANDO PEREZ-UTRILLA PEREZ</w:t>
      </w:r>
    </w:p>
    <w:sectPr>
      <w:type w:val="continuous"/>
      <w:pgSz w:w="11910" w:h="16840"/>
      <w:pgMar w:top="1660" w:bottom="1240" w:left="1300" w:right="740"/>
      <w:cols w:num="2" w:equalWidth="0">
        <w:col w:w="4625" w:space="40"/>
        <w:col w:w="520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790336"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789312"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788288"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15250364503236015400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8726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8624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24096">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79136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181"/>
      </w:pPr>
      <w:rPr>
        <w:rFonts w:hint="default" w:ascii="Times New Roman" w:hAnsi="Times New Roman" w:eastAsia="Times New Roman" w:cs="Times New Roman"/>
        <w:b/>
        <w:bCs/>
        <w:spacing w:val="-20"/>
        <w:w w:val="100"/>
        <w:sz w:val="24"/>
        <w:szCs w:val="24"/>
        <w:lang w:val="es-es" w:eastAsia="es-es" w:bidi="es-es"/>
      </w:rPr>
    </w:lvl>
    <w:lvl w:ilvl="1">
      <w:start w:val="1"/>
      <w:numFmt w:val="decimal"/>
      <w:lvlText w:val="%2."/>
      <w:lvlJc w:val="left"/>
      <w:pPr>
        <w:ind w:left="838" w:hanging="349"/>
        <w:jc w:val="left"/>
      </w:pPr>
      <w:rPr>
        <w:rFonts w:hint="default" w:ascii="Times New Roman" w:hAnsi="Times New Roman" w:eastAsia="Times New Roman" w:cs="Times New Roman"/>
        <w:spacing w:val="-12"/>
        <w:w w:val="100"/>
        <w:sz w:val="24"/>
        <w:szCs w:val="24"/>
        <w:lang w:val="es-es" w:eastAsia="es-es" w:bidi="es-es"/>
      </w:rPr>
    </w:lvl>
    <w:lvl w:ilvl="2">
      <w:start w:val="0"/>
      <w:numFmt w:val="bullet"/>
      <w:lvlText w:val="•"/>
      <w:lvlJc w:val="left"/>
      <w:pPr>
        <w:ind w:left="1842" w:hanging="349"/>
      </w:pPr>
      <w:rPr>
        <w:rFonts w:hint="default"/>
        <w:lang w:val="es-es" w:eastAsia="es-es" w:bidi="es-es"/>
      </w:rPr>
    </w:lvl>
    <w:lvl w:ilvl="3">
      <w:start w:val="0"/>
      <w:numFmt w:val="bullet"/>
      <w:lvlText w:val="•"/>
      <w:lvlJc w:val="left"/>
      <w:pPr>
        <w:ind w:left="2845" w:hanging="349"/>
      </w:pPr>
      <w:rPr>
        <w:rFonts w:hint="default"/>
        <w:lang w:val="es-es" w:eastAsia="es-es" w:bidi="es-es"/>
      </w:rPr>
    </w:lvl>
    <w:lvl w:ilvl="4">
      <w:start w:val="0"/>
      <w:numFmt w:val="bullet"/>
      <w:lvlText w:val="•"/>
      <w:lvlJc w:val="left"/>
      <w:pPr>
        <w:ind w:left="3848" w:hanging="349"/>
      </w:pPr>
      <w:rPr>
        <w:rFonts w:hint="default"/>
        <w:lang w:val="es-es" w:eastAsia="es-es" w:bidi="es-es"/>
      </w:rPr>
    </w:lvl>
    <w:lvl w:ilvl="5">
      <w:start w:val="0"/>
      <w:numFmt w:val="bullet"/>
      <w:lvlText w:val="•"/>
      <w:lvlJc w:val="left"/>
      <w:pPr>
        <w:ind w:left="4851" w:hanging="349"/>
      </w:pPr>
      <w:rPr>
        <w:rFonts w:hint="default"/>
        <w:lang w:val="es-es" w:eastAsia="es-es" w:bidi="es-es"/>
      </w:rPr>
    </w:lvl>
    <w:lvl w:ilvl="6">
      <w:start w:val="0"/>
      <w:numFmt w:val="bullet"/>
      <w:lvlText w:val="•"/>
      <w:lvlJc w:val="left"/>
      <w:pPr>
        <w:ind w:left="5854" w:hanging="349"/>
      </w:pPr>
      <w:rPr>
        <w:rFonts w:hint="default"/>
        <w:lang w:val="es-es" w:eastAsia="es-es" w:bidi="es-es"/>
      </w:rPr>
    </w:lvl>
    <w:lvl w:ilvl="7">
      <w:start w:val="0"/>
      <w:numFmt w:val="bullet"/>
      <w:lvlText w:val="•"/>
      <w:lvlJc w:val="left"/>
      <w:pPr>
        <w:ind w:left="6857" w:hanging="349"/>
      </w:pPr>
      <w:rPr>
        <w:rFonts w:hint="default"/>
        <w:lang w:val="es-es" w:eastAsia="es-es" w:bidi="es-es"/>
      </w:rPr>
    </w:lvl>
    <w:lvl w:ilvl="8">
      <w:start w:val="0"/>
      <w:numFmt w:val="bullet"/>
      <w:lvlText w:val="•"/>
      <w:lvlJc w:val="left"/>
      <w:pPr>
        <w:ind w:left="7860" w:hanging="349"/>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7"/>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837" w:right="107" w:hanging="360"/>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2024-07-12T09:21:43Z</dcterms:created>
  <dcterms:modified xsi:type="dcterms:W3CDTF">2024-07-12T09:21:43Z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2024-07-12T00:00:00Z</vt:filetime>
  </property>
</Properties>
</file>