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Title"/>
        <w:ind w:firstLine="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597812pt;margin-top:-49.792446pt;width:23.8pt;height:582.2pt;mso-position-horizontal-relative:page;mso-position-vertical-relative:paragraph;z-index:-16040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INTERVENCIÓN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Title"/>
        <w:spacing w:line="720" w:lineRule="auto"/>
        <w:ind w:left="2823" w:right="1993"/>
      </w:pPr>
      <w:r>
        <w:rPr/>
        <w:pict>
          <v:line style="position:absolute;mso-position-horizontal-relative:page;mso-position-vertical-relative:paragraph;z-index:15728640" from="24.35pt,183.822895pt" to="24.35pt,26.412895pt" stroked="true" strokeweight=".53333pt" strokecolor="#0000ff">
            <v:stroke dashstyle="solid"/>
            <w10:wrap type="none"/>
          </v:line>
        </w:pict>
      </w:r>
      <w:r>
        <w:rPr/>
        <w:t>ASUNTO: LIQUIDACION Y CUENTA GENERAL DEL PRESUPUESTO 2022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.LEGISLACIÓN</w:t>
      </w:r>
      <w:r>
        <w:rPr>
          <w:spacing w:val="-1"/>
        </w:rPr>
        <w:t> </w:t>
      </w:r>
      <w:r>
        <w:rPr/>
        <w:t>APLICABLE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10" w:lineRule="exact" w:before="0" w:after="0"/>
        <w:ind w:left="1060" w:right="0" w:hanging="361"/>
        <w:jc w:val="left"/>
        <w:rPr>
          <w:sz w:val="20"/>
        </w:rPr>
      </w:pP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191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193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Texto</w:t>
      </w:r>
      <w:r>
        <w:rPr>
          <w:spacing w:val="-6"/>
          <w:sz w:val="20"/>
        </w:rPr>
        <w:t> </w:t>
      </w:r>
      <w:r>
        <w:rPr>
          <w:sz w:val="20"/>
        </w:rPr>
        <w:t>Refundido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3"/>
          <w:sz w:val="20"/>
        </w:rPr>
        <w:t> </w:t>
      </w:r>
      <w:r>
        <w:rPr>
          <w:sz w:val="20"/>
        </w:rPr>
        <w:t>Locales,</w:t>
      </w:r>
      <w:r>
        <w:rPr>
          <w:spacing w:val="-1"/>
          <w:sz w:val="20"/>
        </w:rPr>
        <w:t> </w:t>
      </w:r>
      <w:r>
        <w:rPr>
          <w:sz w:val="20"/>
        </w:rPr>
        <w:t>aprobado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–</w:t>
      </w:r>
    </w:p>
    <w:p>
      <w:pPr>
        <w:pStyle w:val="BodyText"/>
        <w:ind w:left="1057"/>
      </w:pPr>
      <w:r>
        <w:rPr/>
        <w:t>Legislativo</w:t>
      </w:r>
      <w:r>
        <w:rPr>
          <w:spacing w:val="-1"/>
        </w:rPr>
        <w:t> </w:t>
      </w:r>
      <w:r>
        <w:rPr/>
        <w:t>2/2004,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marzo.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1" w:after="0"/>
        <w:ind w:left="1060" w:right="0" w:hanging="360"/>
        <w:jc w:val="left"/>
        <w:rPr>
          <w:sz w:val="20"/>
        </w:rPr>
      </w:pP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Estabilidad</w:t>
      </w:r>
      <w:r>
        <w:rPr>
          <w:spacing w:val="-3"/>
          <w:sz w:val="20"/>
        </w:rPr>
        <w:t> </w:t>
      </w:r>
      <w:r>
        <w:rPr>
          <w:sz w:val="20"/>
        </w:rPr>
        <w:t>Presupuestaria</w:t>
      </w:r>
      <w:r>
        <w:rPr>
          <w:spacing w:val="-3"/>
          <w:sz w:val="20"/>
        </w:rPr>
        <w:t> </w:t>
      </w:r>
      <w:r>
        <w:rPr>
          <w:sz w:val="20"/>
        </w:rPr>
        <w:t>2/2012.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60" w:right="1502" w:hanging="360"/>
        <w:jc w:val="left"/>
        <w:rPr>
          <w:sz w:val="20"/>
        </w:rPr>
      </w:pPr>
      <w:r>
        <w:rPr>
          <w:sz w:val="20"/>
        </w:rPr>
        <w:t>Real Decreto 1463/2007, de 2 de Noviembre, por el que se aprueba el Reglamento de desarrollo de la Ley</w:t>
      </w:r>
      <w:r>
        <w:rPr>
          <w:spacing w:val="-47"/>
          <w:sz w:val="20"/>
        </w:rPr>
        <w:t> </w:t>
      </w:r>
      <w:r>
        <w:rPr>
          <w:sz w:val="20"/>
        </w:rPr>
        <w:t>18/2001, de</w:t>
      </w:r>
      <w:r>
        <w:rPr>
          <w:spacing w:val="-2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1" w:after="0"/>
        <w:ind w:left="1060" w:right="1117" w:hanging="360"/>
        <w:jc w:val="both"/>
        <w:rPr>
          <w:sz w:val="20"/>
        </w:rPr>
      </w:pPr>
      <w:r>
        <w:rPr>
          <w:sz w:val="20"/>
        </w:rPr>
        <w:t>Sección 3ª “Liquidación de los Presupuestos del Capítulo III,(artículo 89 y siguientes) del Rd.500/1990, de 20</w:t>
      </w:r>
      <w:r>
        <w:rPr>
          <w:spacing w:val="1"/>
          <w:sz w:val="20"/>
        </w:rPr>
        <w:t> </w:t>
      </w:r>
      <w:r>
        <w:rPr>
          <w:sz w:val="20"/>
        </w:rPr>
        <w:t>de abril, y la Orden HAP/419/2014, de 14 de marzo, por la que se modifica la Orden EHA/3565/2008, de 3 de</w:t>
      </w:r>
      <w:r>
        <w:rPr>
          <w:spacing w:val="1"/>
          <w:sz w:val="20"/>
        </w:rPr>
        <w:t> </w:t>
      </w:r>
      <w:r>
        <w:rPr>
          <w:sz w:val="20"/>
        </w:rPr>
        <w:t>diciembre, por 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aprueba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estructura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4652"/>
        <w:rPr>
          <w:u w:val="none"/>
        </w:rPr>
      </w:pPr>
      <w:r>
        <w:rPr>
          <w:u w:val="none"/>
        </w:rPr>
        <w:t>II.</w:t>
      </w:r>
      <w:r>
        <w:rPr>
          <w:spacing w:val="-3"/>
          <w:u w:val="none"/>
        </w:rPr>
        <w:t> </w:t>
      </w:r>
      <w:r>
        <w:rPr>
          <w:u w:val="none"/>
        </w:rPr>
        <w:t>LIQUIDACIÓN</w:t>
      </w:r>
      <w:r>
        <w:rPr>
          <w:spacing w:val="-4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u w:val="none"/>
        </w:rPr>
        <w:t>PRESUPUESTO</w:t>
      </w:r>
    </w:p>
    <w:p>
      <w:pPr>
        <w:spacing w:before="0"/>
        <w:ind w:left="700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a</w:t>
      </w:r>
    </w:p>
    <w:p>
      <w:pPr>
        <w:spacing w:before="1"/>
        <w:ind w:left="7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Ámbito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Temporal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699" w:right="1222" w:firstLine="758"/>
      </w:pPr>
      <w:r>
        <w:rPr/>
        <w:t>El cierre y liquidación del Presupuesto General se efectuará, en cuanto a la recaudación de derechos y el</w:t>
      </w:r>
      <w:r>
        <w:rPr>
          <w:spacing w:val="-47"/>
        </w:rPr>
        <w:t> </w:t>
      </w:r>
      <w:r>
        <w:rPr/>
        <w:t>pago de las</w:t>
      </w:r>
      <w:r>
        <w:rPr>
          <w:spacing w:val="-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31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 año natural.</w:t>
      </w:r>
    </w:p>
    <w:p>
      <w:pPr>
        <w:pStyle w:val="BodyText"/>
        <w:ind w:left="699" w:right="1143" w:firstLine="708"/>
      </w:pPr>
      <w:r>
        <w:rPr/>
        <w:t>Los estados demostrativos de la liquidación del Presupuesto General deberán confeccionarse antes del día</w:t>
      </w:r>
      <w:r>
        <w:rPr>
          <w:spacing w:val="-47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 marzo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siguiente al</w:t>
      </w:r>
      <w:r>
        <w:rPr>
          <w:spacing w:val="-1"/>
        </w:rPr>
        <w:t> </w:t>
      </w:r>
      <w:r>
        <w:rPr/>
        <w:t>que la misma se</w:t>
      </w:r>
      <w:r>
        <w:rPr>
          <w:spacing w:val="-1"/>
        </w:rPr>
        <w:t> </w:t>
      </w:r>
      <w:r>
        <w:rPr/>
        <w:t>refiera.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9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Estructura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y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contenido: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0"/>
        <w:ind w:left="1408"/>
      </w:pPr>
      <w:r>
        <w:rPr/>
        <w:t>La</w:t>
      </w:r>
      <w:r>
        <w:rPr>
          <w:spacing w:val="-3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pone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manifiesto: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60" w:right="2050" w:hanging="360"/>
        <w:jc w:val="left"/>
        <w:rPr>
          <w:sz w:val="20"/>
        </w:rPr>
      </w:pPr>
      <w:r>
        <w:rPr>
          <w:sz w:val="20"/>
        </w:rPr>
        <w:t>Respecto del Presupuesto de gastos y para cada partida presupuestaria, los créditos iniciales, sus</w:t>
      </w:r>
      <w:r>
        <w:rPr>
          <w:spacing w:val="1"/>
          <w:sz w:val="20"/>
        </w:rPr>
        <w:t> </w:t>
      </w:r>
      <w:r>
        <w:rPr>
          <w:sz w:val="20"/>
        </w:rPr>
        <w:t>modificaciones y los créditos definitivos, los gastos autorizados y comprometidos, las obligaciones</w:t>
      </w:r>
      <w:r>
        <w:rPr>
          <w:spacing w:val="-47"/>
          <w:sz w:val="20"/>
        </w:rPr>
        <w:t> </w:t>
      </w:r>
      <w:r>
        <w:rPr>
          <w:sz w:val="20"/>
        </w:rPr>
        <w:t>reconocidas, los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-1"/>
          <w:sz w:val="20"/>
        </w:rPr>
        <w:t> </w:t>
      </w:r>
      <w:r>
        <w:rPr>
          <w:sz w:val="20"/>
        </w:rPr>
        <w:t>ordenados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-1"/>
          <w:sz w:val="20"/>
        </w:rPr>
        <w:t> </w:t>
      </w:r>
      <w:r>
        <w:rPr>
          <w:sz w:val="20"/>
        </w:rPr>
        <w:t>realizados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60" w:right="1651" w:hanging="360"/>
        <w:jc w:val="left"/>
        <w:rPr>
          <w:sz w:val="20"/>
        </w:rPr>
      </w:pPr>
      <w:r>
        <w:rPr>
          <w:sz w:val="20"/>
        </w:rPr>
        <w:t>Respecto del estado de ingresos y para cada concepto, las previsiones iniciales, sus modificaciones y las</w:t>
      </w:r>
      <w:r>
        <w:rPr>
          <w:spacing w:val="-47"/>
          <w:sz w:val="20"/>
        </w:rPr>
        <w:t> </w:t>
      </w:r>
      <w:r>
        <w:rPr>
          <w:sz w:val="20"/>
        </w:rPr>
        <w:t>previsiones</w:t>
      </w:r>
      <w:r>
        <w:rPr>
          <w:spacing w:val="-3"/>
          <w:sz w:val="20"/>
        </w:rPr>
        <w:t> </w:t>
      </w:r>
      <w:r>
        <w:rPr>
          <w:sz w:val="20"/>
        </w:rPr>
        <w:t>definitivas, 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reconocidos</w:t>
      </w:r>
      <w:r>
        <w:rPr>
          <w:spacing w:val="-2"/>
          <w:sz w:val="20"/>
        </w:rPr>
        <w:t> </w:t>
      </w:r>
      <w:r>
        <w:rPr>
          <w:sz w:val="20"/>
        </w:rPr>
        <w:t>y anulados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los</w:t>
      </w:r>
      <w:r>
        <w:rPr>
          <w:spacing w:val="-2"/>
          <w:sz w:val="20"/>
        </w:rPr>
        <w:t> </w:t>
      </w:r>
      <w:r>
        <w:rPr>
          <w:sz w:val="20"/>
        </w:rPr>
        <w:t>recaudados</w:t>
      </w:r>
      <w:r>
        <w:rPr>
          <w:spacing w:val="-2"/>
          <w:sz w:val="20"/>
        </w:rPr>
        <w:t> </w:t>
      </w:r>
      <w:r>
        <w:rPr>
          <w:sz w:val="20"/>
        </w:rPr>
        <w:t>netos.</w:t>
      </w:r>
    </w:p>
    <w:p>
      <w:pPr>
        <w:pStyle w:val="BodyText"/>
        <w:spacing w:before="1"/>
      </w:pPr>
    </w:p>
    <w:p>
      <w:pPr>
        <w:pStyle w:val="BodyText"/>
        <w:ind w:left="1408"/>
      </w:pPr>
      <w:r>
        <w:rPr/>
        <w:t>Como</w:t>
      </w:r>
      <w:r>
        <w:rPr>
          <w:spacing w:val="-3"/>
        </w:rPr>
        <w:t> </w:t>
      </w:r>
      <w:r>
        <w:rPr/>
        <w:t>consecuencia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determinarse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magnitudes: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767" w:val="left" w:leader="none"/>
          <w:tab w:pos="1769" w:val="left" w:leader="none"/>
        </w:tabs>
        <w:spacing w:line="229" w:lineRule="exact" w:before="0" w:after="0"/>
        <w:ind w:left="1768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cobro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diciembre.</w:t>
      </w:r>
    </w:p>
    <w:p>
      <w:pPr>
        <w:pStyle w:val="ListParagraph"/>
        <w:numPr>
          <w:ilvl w:val="1"/>
          <w:numId w:val="1"/>
        </w:numPr>
        <w:tabs>
          <w:tab w:pos="1767" w:val="left" w:leader="none"/>
          <w:tab w:pos="1769" w:val="left" w:leader="none"/>
        </w:tabs>
        <w:spacing w:line="229" w:lineRule="exact" w:before="0" w:after="0"/>
        <w:ind w:left="176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Resultado</w:t>
      </w:r>
      <w:r>
        <w:rPr>
          <w:spacing w:val="-3"/>
          <w:sz w:val="20"/>
        </w:rPr>
        <w:t> </w:t>
      </w:r>
      <w:r>
        <w:rPr>
          <w:sz w:val="20"/>
        </w:rPr>
        <w:t>Presupuestario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ejercicio.</w:t>
      </w:r>
    </w:p>
    <w:p>
      <w:pPr>
        <w:pStyle w:val="ListParagraph"/>
        <w:numPr>
          <w:ilvl w:val="1"/>
          <w:numId w:val="1"/>
        </w:numPr>
        <w:tabs>
          <w:tab w:pos="1767" w:val="left" w:leader="none"/>
          <w:tab w:pos="1769" w:val="left" w:leader="none"/>
        </w:tabs>
        <w:spacing w:line="240" w:lineRule="auto" w:before="0" w:after="0"/>
        <w:ind w:left="1768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Remanentes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1"/>
          <w:numId w:val="1"/>
        </w:numPr>
        <w:tabs>
          <w:tab w:pos="1767" w:val="left" w:leader="none"/>
          <w:tab w:pos="1769" w:val="left" w:leader="none"/>
        </w:tabs>
        <w:spacing w:line="240" w:lineRule="auto" w:before="1" w:after="0"/>
        <w:ind w:left="176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Remanente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Tesorería.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00" w:h="16840"/>
          <w:pgMar w:header="698" w:top="1920" w:bottom="280" w:left="200" w:right="6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spacing w:before="0"/>
        <w:ind w:left="700" w:right="1185" w:firstLine="707"/>
        <w:jc w:val="left"/>
        <w:rPr>
          <w:sz w:val="20"/>
        </w:rPr>
      </w:pPr>
      <w:r>
        <w:rPr/>
        <w:pict>
          <v:shape style="position:absolute;margin-left:.597812pt;margin-top:-49.859646pt;width:23.8pt;height:582.2pt;mso-position-horizontal-relative:page;mso-position-vertical-relative:paragraph;z-index:-16039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sz w:val="20"/>
        </w:rPr>
        <w:t>Los derechos </w:t>
      </w:r>
      <w:r>
        <w:rPr>
          <w:b/>
          <w:sz w:val="20"/>
        </w:rPr>
        <w:t>pendientes de cobro y las obligaciones pendientes de pago a 31 de diciembre </w:t>
      </w:r>
      <w:r>
        <w:rPr>
          <w:sz w:val="20"/>
        </w:rPr>
        <w:t>integrarán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agrupación</w:t>
      </w:r>
      <w:r>
        <w:rPr>
          <w:spacing w:val="1"/>
          <w:sz w:val="20"/>
        </w:rPr>
        <w:t> </w:t>
      </w:r>
      <w:r>
        <w:rPr>
          <w:sz w:val="20"/>
        </w:rPr>
        <w:t>de Presupuestos</w:t>
      </w:r>
      <w:r>
        <w:rPr>
          <w:spacing w:val="-1"/>
          <w:sz w:val="20"/>
        </w:rPr>
        <w:t> </w:t>
      </w:r>
      <w:r>
        <w:rPr>
          <w:sz w:val="20"/>
        </w:rPr>
        <w:t>cerrados.</w:t>
      </w:r>
    </w:p>
    <w:p>
      <w:pPr>
        <w:pStyle w:val="BodyText"/>
        <w:spacing w:before="1"/>
      </w:pPr>
    </w:p>
    <w:p>
      <w:pPr>
        <w:pStyle w:val="BodyText"/>
        <w:spacing w:before="1"/>
        <w:ind w:left="699" w:right="1063" w:firstLine="708"/>
      </w:pPr>
      <w:r>
        <w:rPr/>
        <w:pict>
          <v:line style="position:absolute;mso-position-horizontal-relative:page;mso-position-vertical-relative:paragraph;z-index:15729664" from="24.35pt,183.805697pt" to="24.35pt,26.395697pt" stroked="true" strokeweight=".53333pt" strokecolor="#0000ff">
            <v:stroke dashstyle="solid"/>
            <w10:wrap type="none"/>
          </v:line>
        </w:pict>
      </w:r>
      <w:r>
        <w:rPr/>
        <w:t>El </w:t>
      </w:r>
      <w:r>
        <w:rPr>
          <w:b/>
          <w:u w:val="single"/>
        </w:rPr>
        <w:t>Resultado Presupuestario</w:t>
      </w:r>
      <w:r>
        <w:rPr>
          <w:b/>
        </w:rPr>
        <w:t> </w:t>
      </w:r>
      <w:r>
        <w:rPr/>
        <w:t>del ejercicio vendrá determinado por la diferencia entre los derechos</w:t>
      </w:r>
      <w:r>
        <w:rPr>
          <w:spacing w:val="1"/>
        </w:rPr>
        <w:t> </w:t>
      </w:r>
      <w:r>
        <w:rPr/>
        <w:t>presupuestarios netos liquidados durante el ejercicio y las obligaciones presupuestarias netas reconocidas durante el</w:t>
      </w:r>
      <w:r>
        <w:rPr>
          <w:spacing w:val="-47"/>
        </w:rPr>
        <w:t> </w:t>
      </w:r>
      <w:r>
        <w:rPr/>
        <w:t>mismo período. Este resultado deberá ajustarse en los términos expresados en el artículo 97 del R.D. 500/90 y en la</w:t>
      </w:r>
      <w:r>
        <w:rPr>
          <w:spacing w:val="-47"/>
        </w:rPr>
        <w:t> </w:t>
      </w:r>
      <w:r>
        <w:rPr/>
        <w:t>Instrucción de Contabilidad en función</w:t>
      </w:r>
      <w:r>
        <w:rPr>
          <w:spacing w:val="1"/>
        </w:rPr>
        <w:t> </w:t>
      </w:r>
      <w:r>
        <w:rPr/>
        <w:t>las desviaciones de financiación derivadas de los gastos con financiación</w:t>
      </w:r>
      <w:r>
        <w:rPr>
          <w:spacing w:val="1"/>
        </w:rPr>
        <w:t> </w:t>
      </w:r>
      <w:r>
        <w:rPr/>
        <w:t>afectada y los créditos gastados correspondientes a modificaciones presupuestarias que hayan sido financiadas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Remanente de tesorería para gastos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</w:pPr>
    </w:p>
    <w:p>
      <w:pPr>
        <w:pStyle w:val="BodyText"/>
        <w:ind w:left="699" w:right="1648" w:firstLine="708"/>
      </w:pPr>
      <w:r>
        <w:rPr/>
        <w:t>Los remanentes de crédito estarán constituidos por los saldos de créditos definitivos no afectados al</w:t>
      </w:r>
      <w:r>
        <w:rPr>
          <w:spacing w:val="-47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obligaciones</w:t>
      </w:r>
      <w:r>
        <w:rPr>
          <w:spacing w:val="-3"/>
        </w:rPr>
        <w:t> </w:t>
      </w:r>
      <w:r>
        <w:rPr/>
        <w:t>reconocidas.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99" w:right="1222" w:firstLine="708"/>
      </w:pPr>
      <w:r>
        <w:rPr/>
        <w:t>Los remanentes de créditos sin más excepciones que las señaladas en el artículo 182 del TRLRHL,</w:t>
      </w:r>
      <w:r>
        <w:rPr>
          <w:spacing w:val="1"/>
        </w:rPr>
        <w:t> </w:t>
      </w:r>
      <w:r>
        <w:rPr/>
        <w:t>quedarán anulados al cierre del</w:t>
      </w:r>
      <w:r>
        <w:rPr>
          <w:spacing w:val="1"/>
        </w:rPr>
        <w:t> </w:t>
      </w:r>
      <w:r>
        <w:rPr/>
        <w:t>ejercicio y, en consecuencia, no se podrán incorporar al Presupuesto del ejercicio</w:t>
      </w:r>
      <w:r>
        <w:rPr>
          <w:spacing w:val="-47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699" w:right="1032" w:firstLine="708"/>
      </w:pPr>
      <w:r>
        <w:rPr/>
        <w:t>El </w:t>
      </w:r>
      <w:r>
        <w:rPr>
          <w:b/>
          <w:u w:val="single"/>
        </w:rPr>
        <w:t>Remanente de Tesorería</w:t>
      </w:r>
      <w:r>
        <w:rPr>
          <w:b/>
        </w:rPr>
        <w:t> </w:t>
      </w:r>
      <w:r>
        <w:rPr/>
        <w:t>de la Entidad Local estará integrado por los derechos pendientes de cobro, las</w:t>
      </w:r>
      <w:r>
        <w:rPr>
          <w:spacing w:val="-47"/>
        </w:rPr>
        <w:t> </w:t>
      </w:r>
      <w:r>
        <w:rPr/>
        <w:t>obligaciones pendientes de pago y los fondos líquidos, todos referidos a 31 de diciembre del ejercicio. Será</w:t>
      </w:r>
      <w:r>
        <w:rPr>
          <w:spacing w:val="1"/>
        </w:rPr>
        <w:t> </w:t>
      </w:r>
      <w:r>
        <w:rPr/>
        <w:t>calculado de conformidad</w:t>
      </w:r>
      <w:r>
        <w:rPr>
          <w:spacing w:val="1"/>
        </w:rPr>
        <w:t> </w:t>
      </w:r>
      <w:r>
        <w:rPr/>
        <w:t>con</w:t>
      </w:r>
      <w:r>
        <w:rPr>
          <w:spacing w:val="49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 la IC.</w:t>
      </w:r>
    </w:p>
    <w:p>
      <w:pPr>
        <w:pStyle w:val="BodyText"/>
        <w:spacing w:before="1"/>
      </w:pPr>
    </w:p>
    <w:p>
      <w:pPr>
        <w:pStyle w:val="BodyText"/>
        <w:ind w:left="699" w:right="1094" w:firstLine="707"/>
      </w:pPr>
      <w:r>
        <w:rPr/>
        <w:t>En caso de liquidación del Presupuesto con un resultado negativo en el cálculo del remanente de Tesorería</w:t>
      </w:r>
      <w:r>
        <w:rPr>
          <w:spacing w:val="-47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procederse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lo establecido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artículo193,</w:t>
      </w:r>
      <w:r>
        <w:rPr>
          <w:spacing w:val="-3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1 ,2</w:t>
      </w:r>
      <w:r>
        <w:rPr>
          <w:spacing w:val="48"/>
        </w:rPr>
        <w:t> </w:t>
      </w:r>
      <w:r>
        <w:rPr/>
        <w:t>y</w:t>
      </w:r>
      <w:r>
        <w:rPr>
          <w:spacing w:val="-2"/>
        </w:rPr>
        <w:t> </w:t>
      </w:r>
      <w:r>
        <w:rPr/>
        <w:t>3 del</w:t>
      </w:r>
      <w:r>
        <w:rPr>
          <w:spacing w:val="-1"/>
        </w:rPr>
        <w:t> </w:t>
      </w:r>
      <w:r>
        <w:rPr/>
        <w:t>TRLHL.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82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III.-INFORME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1419"/>
      </w:pPr>
      <w:r>
        <w:rPr/>
        <w:t>Examinada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5" w:lineRule="exact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5" w:lineRule="exact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Estados</w:t>
      </w:r>
      <w:r>
        <w:rPr>
          <w:spacing w:val="-4"/>
          <w:sz w:val="20"/>
        </w:rPr>
        <w:t> </w:t>
      </w:r>
      <w:r>
        <w:rPr>
          <w:sz w:val="20"/>
        </w:rPr>
        <w:t>Demostrativos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cobrar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pagar</w:t>
      </w:r>
      <w:r>
        <w:rPr>
          <w:spacing w:val="-4"/>
          <w:sz w:val="20"/>
        </w:rPr>
        <w:t> </w:t>
      </w:r>
      <w:r>
        <w:rPr>
          <w:sz w:val="20"/>
        </w:rPr>
        <w:t>procedentes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3"/>
          <w:sz w:val="20"/>
        </w:rPr>
        <w:t> </w:t>
      </w:r>
      <w:r>
        <w:rPr>
          <w:sz w:val="20"/>
        </w:rPr>
        <w:t>Cerrados.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4" w:lineRule="exact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Liquidación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Gastos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4" w:lineRule="exact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Liquidación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5" w:lineRule="exact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Resultado</w:t>
      </w:r>
      <w:r>
        <w:rPr>
          <w:spacing w:val="-5"/>
          <w:sz w:val="20"/>
        </w:rPr>
        <w:t> </w:t>
      </w:r>
      <w:r>
        <w:rPr>
          <w:sz w:val="20"/>
        </w:rPr>
        <w:t>Presupuestario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60" w:right="0" w:hanging="360"/>
        <w:jc w:val="left"/>
        <w:rPr>
          <w:sz w:val="20"/>
        </w:rPr>
      </w:pPr>
      <w:r>
        <w:rPr>
          <w:sz w:val="20"/>
        </w:rPr>
        <w:t>Remanente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Tesorería</w:t>
      </w:r>
    </w:p>
    <w:p>
      <w:pPr>
        <w:pStyle w:val="BodyText"/>
        <w:spacing w:before="5"/>
        <w:rPr>
          <w:sz w:val="24"/>
        </w:rPr>
      </w:pPr>
    </w:p>
    <w:p>
      <w:pPr>
        <w:spacing w:line="614" w:lineRule="auto" w:before="0"/>
        <w:ind w:left="1400" w:right="6237" w:firstLine="19"/>
        <w:jc w:val="left"/>
        <w:rPr>
          <w:b/>
          <w:i/>
          <w:sz w:val="20"/>
        </w:rPr>
      </w:pPr>
      <w:r>
        <w:rPr>
          <w:sz w:val="20"/>
        </w:rPr>
        <w:t>Esta Intervención tiene a bien informar:</w:t>
      </w:r>
      <w:r>
        <w:rPr>
          <w:spacing w:val="1"/>
          <w:sz w:val="20"/>
        </w:rPr>
        <w:t> </w:t>
      </w:r>
      <w:r>
        <w:rPr>
          <w:sz w:val="20"/>
        </w:rPr>
        <w:t>1º.-</w:t>
      </w:r>
      <w:r>
        <w:rPr>
          <w:spacing w:val="-5"/>
          <w:sz w:val="20"/>
        </w:rPr>
        <w:t> </w:t>
      </w:r>
      <w:r>
        <w:rPr>
          <w:b/>
          <w:i/>
          <w:sz w:val="20"/>
          <w:u w:val="single"/>
        </w:rPr>
        <w:t>RESULTADO</w:t>
      </w:r>
      <w:r>
        <w:rPr>
          <w:b/>
          <w:i/>
          <w:spacing w:val="-6"/>
          <w:sz w:val="20"/>
          <w:u w:val="single"/>
        </w:rPr>
        <w:t> </w:t>
      </w:r>
      <w:r>
        <w:rPr>
          <w:b/>
          <w:i/>
          <w:sz w:val="20"/>
          <w:u w:val="single"/>
        </w:rPr>
        <w:t>PRESUPUESTARIO:</w:t>
      </w:r>
    </w:p>
    <w:p>
      <w:pPr>
        <w:spacing w:after="0" w:line="614" w:lineRule="auto"/>
        <w:jc w:val="left"/>
        <w:rPr>
          <w:sz w:val="20"/>
        </w:rPr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  <w:rPr>
          <w:b/>
          <w:i/>
        </w:rPr>
      </w:pPr>
      <w:r>
        <w:rPr/>
        <w:pict>
          <v:line style="position:absolute;mso-position-horizontal-relative:page;mso-position-vertical-relative:page;z-index:15730688" from="24.35pt,397.980007pt" to="24.35pt,240.570007pt" stroked="true" strokeweight=".53333pt" strokecolor="#0000ff">
            <v:stroke dashstyle="solid"/>
            <w10:wrap type="none"/>
          </v:line>
        </w:pic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ind w:left="1400"/>
      </w:pPr>
      <w:r>
        <w:rPr/>
        <w:drawing>
          <wp:inline distT="0" distB="0" distL="0" distR="0">
            <wp:extent cx="6080095" cy="48463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09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BodyText"/>
        <w:spacing w:before="91"/>
        <w:ind w:left="699" w:right="1400" w:firstLine="708"/>
      </w:pPr>
      <w:r>
        <w:rPr/>
        <w:pict>
          <v:shape style="position:absolute;margin-left:.597812pt;margin-top:-442.749512pt;width:23.8pt;height:582.2pt;mso-position-horizontal-relative:page;mso-position-vertical-relative:paragraph;z-index:-16038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Indicar que en lo que se refiere al presente ejercicio nos encontramos con desviaciones de financiación</w:t>
      </w:r>
      <w:r>
        <w:rPr>
          <w:spacing w:val="-47"/>
        </w:rPr>
        <w:t> </w:t>
      </w:r>
      <w:r>
        <w:rPr/>
        <w:t>positivas</w:t>
      </w:r>
      <w:r>
        <w:rPr>
          <w:spacing w:val="-2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190"/>
      </w:tblGrid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</w:tr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PMS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26.208,79</w:t>
            </w:r>
          </w:p>
        </w:tc>
      </w:tr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2.247.718,59</w:t>
            </w:r>
          </w:p>
        </w:tc>
      </w:tr>
    </w:tbl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699" w:right="1143" w:firstLine="708"/>
      </w:pPr>
      <w:r>
        <w:rPr/>
        <w:t>Por otro lado se observan las obligaciones reconocidas con cargo a partidas que son financiadas con el</w:t>
      </w:r>
      <w:r>
        <w:rPr>
          <w:spacing w:val="1"/>
        </w:rPr>
        <w:t> </w:t>
      </w:r>
      <w:r>
        <w:rPr/>
        <w:t>remanente de tesorería para gastos generales por importe de</w:t>
      </w:r>
      <w:r>
        <w:rPr>
          <w:spacing w:val="1"/>
        </w:rPr>
        <w:t> </w:t>
      </w:r>
      <w:r>
        <w:rPr>
          <w:rFonts w:ascii="Calibri" w:hAnsi="Calibri"/>
          <w:sz w:val="22"/>
        </w:rPr>
        <w:t>3.554.576,41</w:t>
      </w:r>
      <w:r>
        <w:rPr/>
        <w:t>euros que corresponden principalmente</w:t>
      </w:r>
      <w:r>
        <w:rPr>
          <w:spacing w:val="-47"/>
        </w:rPr>
        <w:t> </w:t>
      </w:r>
      <w:r>
        <w:rPr/>
        <w:t>al reconocimiento y pago de cantidades derivadas del proceso judicial con la entidad Colony Club así como una</w:t>
      </w:r>
      <w:r>
        <w:rPr>
          <w:spacing w:val="1"/>
        </w:rPr>
        <w:t> </w:t>
      </w:r>
      <w:r>
        <w:rPr/>
        <w:t>deuda</w:t>
      </w:r>
      <w:r>
        <w:rPr>
          <w:spacing w:val="-3"/>
        </w:rPr>
        <w:t> </w:t>
      </w:r>
      <w:r>
        <w:rPr/>
        <w:t>de 171</w:t>
      </w:r>
      <w:r>
        <w:rPr>
          <w:spacing w:val="1"/>
        </w:rPr>
        <w:t> </w:t>
      </w:r>
      <w:r>
        <w:rPr/>
        <w:t>mil euros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adeudaba a</w:t>
      </w:r>
      <w:r>
        <w:rPr>
          <w:spacing w:val="-1"/>
        </w:rPr>
        <w:t> </w:t>
      </w:r>
      <w:r>
        <w:rPr/>
        <w:t>Repsol de años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07"/>
      </w:pPr>
      <w:r>
        <w:rPr/>
        <w:t>Se</w:t>
      </w:r>
      <w:r>
        <w:rPr>
          <w:spacing w:val="-4"/>
        </w:rPr>
        <w:t> </w:t>
      </w:r>
      <w:r>
        <w:rPr/>
        <w:t>observa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ajustado</w:t>
      </w:r>
      <w:r>
        <w:rPr>
          <w:spacing w:val="-2"/>
        </w:rPr>
        <w:t> </w:t>
      </w:r>
      <w:r>
        <w:rPr/>
        <w:t>positivo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586.040,01</w:t>
      </w:r>
      <w:r>
        <w:rPr>
          <w:spacing w:val="-3"/>
        </w:rPr>
        <w:t> </w:t>
      </w:r>
      <w:r>
        <w:rPr/>
        <w:t>euros.</w:t>
      </w:r>
    </w:p>
    <w:p>
      <w:pPr>
        <w:spacing w:after="0"/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94"/>
        <w:rPr>
          <w:u w:val="none"/>
        </w:rPr>
      </w:pPr>
      <w:r>
        <w:rPr/>
        <w:pict>
          <v:shape style="position:absolute;margin-left:.597812pt;margin-top:-45.159645pt;width:23.8pt;height:582.2pt;mso-position-horizontal-relative:page;mso-position-vertical-relative:paragraph;z-index:-16037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b w:val="0"/>
          <w:u w:val="none"/>
        </w:rPr>
        <w:t>2º.-</w:t>
      </w:r>
      <w:r>
        <w:rPr>
          <w:b w:val="0"/>
          <w:spacing w:val="-3"/>
          <w:u w:val="single"/>
        </w:rPr>
        <w:t> </w:t>
      </w:r>
      <w:r>
        <w:rPr>
          <w:u w:val="single"/>
        </w:rPr>
        <w:t>REMANENTE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TESORERÍA:</w:t>
      </w:r>
    </w:p>
    <w:p>
      <w:pPr>
        <w:spacing w:before="0"/>
        <w:ind w:left="699" w:right="1211" w:firstLine="5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15732224" from="24.35pt,206.795674pt" to="24.35pt,49.385674pt" stroked="true" strokeweight=".53333pt" strokecolor="#0000ff">
            <v:stroke dashstyle="solid"/>
            <w10:wrap type="none"/>
          </v:line>
        </w:pict>
      </w:r>
      <w:r>
        <w:rPr>
          <w:i/>
          <w:sz w:val="20"/>
        </w:rPr>
        <w:t>En cuanto al </w:t>
      </w:r>
      <w:r>
        <w:rPr>
          <w:b/>
          <w:i/>
          <w:sz w:val="20"/>
        </w:rPr>
        <w:t>remanente de Tesorería </w:t>
      </w:r>
      <w:r>
        <w:rPr>
          <w:i/>
          <w:sz w:val="20"/>
        </w:rPr>
        <w:t>del ejercicio </w:t>
      </w:r>
      <w:r>
        <w:rPr>
          <w:b/>
          <w:i/>
          <w:sz w:val="20"/>
        </w:rPr>
        <w:t>2022</w:t>
      </w:r>
      <w:r>
        <w:rPr>
          <w:i/>
          <w:sz w:val="20"/>
        </w:rPr>
        <w:t>, integrado por los componentes recogidos en el art. 101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RD 500/90,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 20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abril,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siguientes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datos:</w:t>
      </w:r>
    </w:p>
    <w:p>
      <w:pPr>
        <w:pStyle w:val="BodyText"/>
        <w:spacing w:before="5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571500</wp:posOffset>
            </wp:positionH>
            <wp:positionV relativeFrom="paragraph">
              <wp:posOffset>145345</wp:posOffset>
            </wp:positionV>
            <wp:extent cx="5892337" cy="580872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337" cy="580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ind w:left="699" w:right="1163" w:firstLine="708"/>
      </w:pPr>
      <w:r>
        <w:rPr/>
        <w:t>Habiendo sido calculado en virtud de lo dispuesto en el artº. 93.2 del Real Decreto 500/90, de 20 de abril,</w:t>
      </w:r>
      <w:r>
        <w:rPr>
          <w:spacing w:val="-47"/>
        </w:rPr>
        <w:t> </w:t>
      </w:r>
      <w:r>
        <w:rPr/>
        <w:t>que dispone que como consecuencia de la Liquidación del Presupuesto deberá determinarse entre otros aspectos el</w:t>
      </w:r>
      <w:r>
        <w:rPr>
          <w:spacing w:val="-47"/>
        </w:rPr>
        <w:t> </w:t>
      </w:r>
      <w:r>
        <w:rPr/>
        <w:t>Remanente de Tesorería, y de la Regla 56 de la Instrucción de Contabilidad para la Admón. Local de 20 de</w:t>
      </w:r>
      <w:r>
        <w:rPr>
          <w:spacing w:val="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2013.</w:t>
      </w:r>
    </w:p>
    <w:p>
      <w:pPr>
        <w:pStyle w:val="BodyText"/>
        <w:ind w:left="699" w:right="1410" w:firstLine="708"/>
      </w:pPr>
      <w:r>
        <w:rPr/>
        <w:t>A continuación se muestra el cuadro desglose que compone el montante total del exceso de desviación</w:t>
      </w:r>
      <w:r>
        <w:rPr>
          <w:spacing w:val="-47"/>
        </w:rPr>
        <w:t> </w:t>
      </w:r>
      <w:r>
        <w:rPr/>
        <w:t>afectada</w:t>
      </w:r>
      <w:r>
        <w:rPr>
          <w:spacing w:val="-1"/>
        </w:rPr>
        <w:t> </w:t>
      </w:r>
      <w:r>
        <w:rPr/>
        <w:t>acumulada a 31-12:</w:t>
      </w:r>
    </w:p>
    <w:p>
      <w:pPr>
        <w:spacing w:after="0"/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190"/>
      </w:tblGrid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</w:tr>
      <w:tr>
        <w:trPr>
          <w:trHeight w:val="301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2"/>
              <w:ind w:left="69"/>
              <w:rPr>
                <w:sz w:val="20"/>
              </w:rPr>
            </w:pPr>
            <w:r>
              <w:rPr>
                <w:sz w:val="20"/>
              </w:rPr>
              <w:t>PMS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26.208,79</w:t>
            </w:r>
          </w:p>
        </w:tc>
      </w:tr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Financiación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afectada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1.707.751,72</w:t>
            </w:r>
          </w:p>
        </w:tc>
      </w:tr>
      <w:tr>
        <w:trPr>
          <w:trHeight w:val="299" w:hRule="atLeast"/>
        </w:trPr>
        <w:tc>
          <w:tcPr>
            <w:tcW w:w="3360" w:type="dxa"/>
          </w:tcPr>
          <w:p>
            <w:pPr>
              <w:pStyle w:val="TableParagraph"/>
              <w:spacing w:line="210" w:lineRule="exact" w:before="70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Empleo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2.247.718,59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699" w:right="1113" w:firstLine="708"/>
      </w:pPr>
      <w:r>
        <w:rPr/>
        <w:pict>
          <v:line style="position:absolute;mso-position-horizontal-relative:page;mso-position-vertical-relative:paragraph;z-index:15733248" from="24.35pt,137.305697pt" to="24.35pt,-20.104303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-130.869644pt;width:23.8pt;height:582.2pt;mso-position-horizontal-relative:page;mso-position-vertical-relative:paragraph;z-index:-16036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En virtud de la regla 56 el remanente citado se ha cuantificado a partir de los datos que en fin de ejercicio</w:t>
      </w:r>
      <w:r>
        <w:rPr>
          <w:spacing w:val="1"/>
        </w:rPr>
        <w:t> </w:t>
      </w:r>
      <w:r>
        <w:rPr/>
        <w:t>figuran en la contabilidad antes del cierre de la misma, obtenido como suma de los fondos líquidos más los</w:t>
      </w:r>
      <w:r>
        <w:rPr>
          <w:spacing w:val="1"/>
        </w:rPr>
        <w:t> </w:t>
      </w:r>
      <w:r>
        <w:rPr/>
        <w:t>derechos pendientes de cobro, deduciendo las obligaciones pendientes de pago. El remanente de Tesorería</w:t>
      </w:r>
      <w:r>
        <w:rPr>
          <w:spacing w:val="1"/>
        </w:rPr>
        <w:t> </w:t>
      </w:r>
      <w:r>
        <w:rPr/>
        <w:t>disponible para la financiación de gastos generales se ha determinado minorando el remanente de Tesorería en el</w:t>
      </w:r>
      <w:r>
        <w:rPr>
          <w:spacing w:val="1"/>
        </w:rPr>
        <w:t> </w:t>
      </w:r>
      <w:r>
        <w:rPr/>
        <w:t>importe de los derechos pendientes de cobro que, en fin de ejercicio, se han considerado como de dudoso cobro,</w:t>
      </w:r>
      <w:r>
        <w:rPr>
          <w:spacing w:val="1"/>
        </w:rPr>
        <w:t> </w:t>
      </w:r>
      <w:r>
        <w:rPr/>
        <w:t>habiéndose utilizado los criterios de dudoso cobro recogidos en el propio FCFM y siendo incluso incrementados</w:t>
      </w:r>
      <w:r>
        <w:rPr>
          <w:spacing w:val="1"/>
        </w:rPr>
        <w:t> </w:t>
      </w:r>
      <w:r>
        <w:rPr/>
        <w:t>hasta </w:t>
      </w:r>
      <w:r>
        <w:rPr>
          <w:b/>
        </w:rPr>
        <w:t>18,8 millones </w:t>
      </w:r>
      <w:r>
        <w:rPr/>
        <w:t>para así lograr un remanente más real. Se confía realmente que se pueda recaudar un pendiente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cobro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recoge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remanente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depuración.</w:t>
      </w:r>
    </w:p>
    <w:p>
      <w:pPr>
        <w:pStyle w:val="BodyText"/>
        <w:ind w:left="699" w:right="1148" w:firstLine="708"/>
      </w:pPr>
      <w:r>
        <w:rPr/>
        <w:t>El cálculo de los fondos líquidos, de los derechos pendientes de cobro y de las obligaciones pendientes de</w:t>
      </w:r>
      <w:r>
        <w:rPr>
          <w:spacing w:val="-47"/>
        </w:rPr>
        <w:t> </w:t>
      </w:r>
      <w:r>
        <w:rPr/>
        <w:t>pago, se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efectuado de acuerdo con</w:t>
      </w:r>
      <w:r>
        <w:rPr>
          <w:spacing w:val="-2"/>
        </w:rPr>
        <w:t> </w:t>
      </w:r>
      <w:r>
        <w:rPr/>
        <w:t>lo establecido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instrucción</w:t>
      </w:r>
      <w:r>
        <w:rPr>
          <w:spacing w:val="-2"/>
        </w:rPr>
        <w:t> </w:t>
      </w:r>
      <w:r>
        <w:rPr/>
        <w:t>de contabilidad.</w:t>
      </w:r>
    </w:p>
    <w:p>
      <w:pPr>
        <w:pStyle w:val="BodyText"/>
        <w:spacing w:before="119"/>
        <w:ind w:left="1407"/>
        <w:rPr>
          <w:b/>
        </w:rPr>
      </w:pPr>
      <w:r>
        <w:rPr/>
        <w:t>Como</w:t>
      </w:r>
      <w:r>
        <w:rPr>
          <w:spacing w:val="-2"/>
        </w:rPr>
        <w:t> </w:t>
      </w:r>
      <w:r>
        <w:rPr/>
        <w:t>consecuencia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remanente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arroja</w:t>
      </w:r>
      <w:r>
        <w:rPr>
          <w:spacing w:val="43"/>
        </w:rPr>
        <w:t> </w:t>
      </w:r>
      <w:r>
        <w:rPr/>
        <w:t>un</w:t>
      </w:r>
      <w:r>
        <w:rPr>
          <w:spacing w:val="48"/>
        </w:rPr>
        <w:t> </w:t>
      </w:r>
      <w:r>
        <w:rPr/>
        <w:t>importe</w:t>
      </w:r>
      <w:r>
        <w:rPr>
          <w:spacing w:val="-2"/>
        </w:rPr>
        <w:t> </w:t>
      </w:r>
      <w:r>
        <w:rPr/>
        <w:t>positivo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b/>
        </w:rPr>
        <w:t>12.611.555,4</w:t>
      </w:r>
    </w:p>
    <w:p>
      <w:pPr>
        <w:pStyle w:val="BodyText"/>
        <w:ind w:left="699" w:right="1191"/>
      </w:pPr>
      <w:r>
        <w:rPr>
          <w:b/>
        </w:rPr>
        <w:t>€. </w:t>
      </w:r>
      <w:r>
        <w:rPr/>
        <w:t>Lo cierto es que el pendiente de cobro continúa siendo elevado habiendo un incremento sensible respecto del</w:t>
      </w:r>
      <w:r>
        <w:rPr>
          <w:spacing w:val="1"/>
        </w:rPr>
        <w:t> </w:t>
      </w:r>
      <w:r>
        <w:rPr/>
        <w:t>ejercicio anterior de casi un millón de euros de corrientes. Se consigna una cantidad elevada de saldos de dudoso</w:t>
      </w:r>
      <w:r>
        <w:rPr>
          <w:spacing w:val="1"/>
        </w:rPr>
        <w:t> </w:t>
      </w:r>
      <w:r>
        <w:rPr/>
        <w:t>cobro a fin de que se asemeje a la realidad el importe del remanente de tesorería en términos que vendríamos a</w:t>
      </w:r>
      <w:r>
        <w:rPr>
          <w:spacing w:val="1"/>
        </w:rPr>
        <w:t> </w:t>
      </w:r>
      <w:r>
        <w:rPr/>
        <w:t>considerar ajustados al SEC, en términos de caja o tesorería. Esta Intervención es consciente de que una buena</w:t>
      </w:r>
      <w:r>
        <w:rPr>
          <w:spacing w:val="1"/>
        </w:rPr>
        <w:t> </w:t>
      </w:r>
      <w:r>
        <w:rPr/>
        <w:t>recaudación podría lograr que dicho dudoso cobro quedara desvirtuado por excesivo si bien se entiende que es</w:t>
      </w:r>
      <w:r>
        <w:rPr>
          <w:spacing w:val="1"/>
        </w:rPr>
        <w:t> </w:t>
      </w:r>
      <w:r>
        <w:rPr/>
        <w:t>preferible una expectativa prudente y que lo que venga por añadido de cobros pues será bienvenido para la mejora</w:t>
      </w:r>
      <w:r>
        <w:rPr>
          <w:spacing w:val="-47"/>
        </w:rPr>
        <w:t> </w:t>
      </w:r>
      <w:r>
        <w:rPr/>
        <w:t>de la tesorería. La cifra del remanente supone que haya margen para poder incorporar aquellos remanentes de</w:t>
      </w:r>
      <w:r>
        <w:rPr>
          <w:spacing w:val="1"/>
        </w:rPr>
        <w:t> </w:t>
      </w:r>
      <w:r>
        <w:rPr/>
        <w:t>crédito de inversión generados mediante créditos extraordinarios financiados con el remanente de tesorería para</w:t>
      </w:r>
      <w:r>
        <w:rPr>
          <w:spacing w:val="1"/>
        </w:rPr>
        <w:t> </w:t>
      </w:r>
      <w:r>
        <w:rPr/>
        <w:t>gastos</w:t>
      </w:r>
      <w:r>
        <w:rPr>
          <w:spacing w:val="-2"/>
        </w:rPr>
        <w:t> </w:t>
      </w:r>
      <w:r>
        <w:rPr/>
        <w:t>generales.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rPr>
          <w:u w:val="none"/>
        </w:rPr>
      </w:pPr>
      <w:r>
        <w:rPr>
          <w:b w:val="0"/>
          <w:i w:val="0"/>
          <w:u w:val="none"/>
        </w:rPr>
        <w:t>3º.-</w:t>
      </w:r>
      <w:r>
        <w:rPr>
          <w:b w:val="0"/>
          <w:i w:val="0"/>
          <w:spacing w:val="-4"/>
          <w:u w:val="none"/>
        </w:rPr>
        <w:t> </w:t>
      </w:r>
      <w:r>
        <w:rPr>
          <w:u w:val="single"/>
        </w:rPr>
        <w:t>ESTABILIDAD</w:t>
      </w:r>
      <w:r>
        <w:rPr>
          <w:spacing w:val="-5"/>
          <w:u w:val="single"/>
        </w:rPr>
        <w:t> </w:t>
      </w:r>
      <w:r>
        <w:rPr>
          <w:u w:val="single"/>
        </w:rPr>
        <w:t>PRESUPUESTARIA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pStyle w:val="BodyText"/>
        <w:spacing w:before="91"/>
        <w:ind w:left="699" w:right="1063" w:firstLine="708"/>
      </w:pPr>
      <w:r>
        <w:rPr/>
        <w:t>De conformidad con la Ley 18/2001, de 12 de diciembre, General de Estabilidad Presupuestaria, debe</w:t>
      </w:r>
      <w:r>
        <w:rPr>
          <w:spacing w:val="1"/>
        </w:rPr>
        <w:t> </w:t>
      </w:r>
      <w:r>
        <w:rPr/>
        <w:t>examinarse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estabilidad</w:t>
      </w:r>
      <w:r>
        <w:rPr>
          <w:spacing w:val="-4"/>
        </w:rPr>
        <w:t> </w:t>
      </w:r>
      <w:r>
        <w:rPr/>
        <w:t>presupuestaria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liquidación.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relación</w:t>
      </w:r>
      <w:r>
        <w:rPr>
          <w:spacing w:val="-47"/>
        </w:rPr>
        <w:t> </w:t>
      </w:r>
      <w:r>
        <w:rPr>
          <w:spacing w:val="-1"/>
        </w:rPr>
        <w:t>con el mismo, el artículo 7 de la indicada Ley 18/2001, en la redacción </w:t>
      </w:r>
      <w:r>
        <w:rPr/>
        <w:t>dada por la Ley 15/2006, indica que la</w:t>
      </w:r>
      <w:r>
        <w:rPr>
          <w:spacing w:val="1"/>
        </w:rPr>
        <w:t> </w:t>
      </w:r>
      <w:r>
        <w:rPr>
          <w:spacing w:val="-3"/>
        </w:rPr>
        <w:t>elaboración, aprobación y ejecución </w:t>
      </w:r>
      <w:r>
        <w:rPr>
          <w:spacing w:val="-2"/>
        </w:rPr>
        <w:t>de los Presupuestos de las Entidades Locales se realizará con carácter general en</w:t>
      </w:r>
      <w:r>
        <w:rPr>
          <w:spacing w:val="-1"/>
        </w:rPr>
        <w:t> </w:t>
      </w:r>
      <w:r>
        <w:rPr>
          <w:spacing w:val="-3"/>
        </w:rPr>
        <w:t>equilibrio o superávit presupuestario computado en términos de capacidad de financiación </w:t>
      </w:r>
      <w:r>
        <w:rPr>
          <w:spacing w:val="-2"/>
        </w:rPr>
        <w:t>de acuerdo con la definición</w:t>
      </w:r>
      <w:r>
        <w:rPr>
          <w:spacing w:val="-47"/>
        </w:rPr>
        <w:t> </w:t>
      </w:r>
      <w:r>
        <w:rPr/>
        <w:t>en el SEC. Debido a la falta de una clara regulación normativa sobre el cálculo de la ratio de estabilidad</w:t>
      </w:r>
      <w:r>
        <w:rPr>
          <w:spacing w:val="1"/>
        </w:rPr>
        <w:t> </w:t>
      </w:r>
      <w:r>
        <w:rPr/>
        <w:t>presupuestaria, y siguiendo a numerosa doctrina, se puede entender que la Entidad se encontrará en situación de</w:t>
      </w:r>
      <w:r>
        <w:rPr>
          <w:spacing w:val="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no financieros.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94" w:right="648"/>
        <w:jc w:val="center"/>
      </w:pPr>
      <w:r>
        <w:rPr>
          <w:spacing w:val="-3"/>
        </w:rPr>
        <w:t>Aplicando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9"/>
        </w:rPr>
        <w:t> </w:t>
      </w:r>
      <w:r>
        <w:rPr>
          <w:spacing w:val="-3"/>
        </w:rPr>
        <w:t>criterio,</w:t>
      </w:r>
      <w:r>
        <w:rPr>
          <w:spacing w:val="-10"/>
        </w:rPr>
        <w:t> </w:t>
      </w:r>
      <w:r>
        <w:rPr>
          <w:spacing w:val="-3"/>
        </w:rPr>
        <w:t>para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2"/>
        </w:rPr>
        <w:t>caso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nos</w:t>
      </w:r>
      <w:r>
        <w:rPr>
          <w:spacing w:val="-10"/>
        </w:rPr>
        <w:t> </w:t>
      </w:r>
      <w:r>
        <w:rPr>
          <w:spacing w:val="-2"/>
        </w:rPr>
        <w:t>ocupa,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liquidación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Presupuesto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Ayuntamiento</w:t>
      </w:r>
      <w:r>
        <w:rPr>
          <w:spacing w:val="-8"/>
        </w:rPr>
        <w:t> </w:t>
      </w:r>
      <w:r>
        <w:rPr>
          <w:spacing w:val="-2"/>
        </w:rPr>
        <w:t>del</w:t>
      </w:r>
    </w:p>
    <w:p>
      <w:pPr>
        <w:pStyle w:val="BodyText"/>
        <w:ind w:left="694" w:right="5138"/>
        <w:jc w:val="center"/>
      </w:pPr>
      <w:r>
        <w:rPr>
          <w:b/>
          <w:spacing w:val="-3"/>
        </w:rPr>
        <w:t>2022</w:t>
      </w:r>
      <w:r>
        <w:rPr>
          <w:spacing w:val="-3"/>
        </w:rPr>
        <w:t>,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ratio</w:t>
      </w:r>
      <w:r>
        <w:rPr>
          <w:spacing w:val="-8"/>
        </w:rPr>
        <w:t> </w:t>
      </w:r>
      <w:r>
        <w:rPr>
          <w:spacing w:val="-3"/>
        </w:rPr>
        <w:t>(DRN</w:t>
      </w:r>
      <w:r>
        <w:rPr>
          <w:spacing w:val="-9"/>
        </w:rPr>
        <w:t> </w:t>
      </w:r>
      <w:r>
        <w:rPr>
          <w:spacing w:val="-3"/>
        </w:rPr>
        <w:t>(1-7)-ORN</w:t>
      </w:r>
      <w:r>
        <w:rPr>
          <w:spacing w:val="-7"/>
        </w:rPr>
        <w:t> </w:t>
      </w:r>
      <w:r>
        <w:rPr>
          <w:spacing w:val="-3"/>
        </w:rPr>
        <w:t>(1-7))/DRN</w:t>
      </w:r>
      <w:r>
        <w:rPr>
          <w:spacing w:val="-7"/>
        </w:rPr>
        <w:t> </w:t>
      </w:r>
      <w:r>
        <w:rPr>
          <w:spacing w:val="-3"/>
        </w:rPr>
        <w:t>(1-7)</w:t>
      </w:r>
      <w:r>
        <w:rPr>
          <w:spacing w:val="-6"/>
        </w:rPr>
        <w:t> </w:t>
      </w:r>
      <w:r>
        <w:rPr>
          <w:spacing w:val="-2"/>
        </w:rPr>
        <w:t>*100,</w:t>
      </w:r>
      <w:r>
        <w:rPr>
          <w:spacing w:val="-6"/>
        </w:rPr>
        <w:t> </w:t>
      </w:r>
      <w:r>
        <w:rPr>
          <w:spacing w:val="-2"/>
        </w:rPr>
        <w:t>supondría:</w:t>
      </w:r>
    </w:p>
    <w:p>
      <w:pPr>
        <w:pStyle w:val="BodyText"/>
      </w:pPr>
    </w:p>
    <w:tbl>
      <w:tblPr>
        <w:tblW w:w="0" w:type="auto"/>
        <w:jc w:val="left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6"/>
        <w:gridCol w:w="2755"/>
      </w:tblGrid>
      <w:tr>
        <w:trPr>
          <w:trHeight w:val="529" w:hRule="atLeast"/>
        </w:trPr>
        <w:tc>
          <w:tcPr>
            <w:tcW w:w="8011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ESTABILIDAD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PRESUPUESTARIA</w:t>
            </w:r>
          </w:p>
        </w:tc>
      </w:tr>
      <w:tr>
        <w:trPr>
          <w:trHeight w:val="273" w:hRule="atLeast"/>
        </w:trPr>
        <w:tc>
          <w:tcPr>
            <w:tcW w:w="5256" w:type="dxa"/>
          </w:tcPr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D.R.N.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(CAPITULOS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1 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7)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2755" w:type="dxa"/>
          </w:tcPr>
          <w:p>
            <w:pPr>
              <w:pStyle w:val="TableParagraph"/>
              <w:ind w:left="851"/>
              <w:rPr>
                <w:sz w:val="20"/>
              </w:rPr>
            </w:pPr>
            <w:r>
              <w:rPr>
                <w:sz w:val="20"/>
              </w:rPr>
              <w:t>31.258.387,5</w:t>
            </w:r>
          </w:p>
        </w:tc>
      </w:tr>
      <w:tr>
        <w:trPr>
          <w:trHeight w:val="229" w:hRule="atLeast"/>
        </w:trPr>
        <w:tc>
          <w:tcPr>
            <w:tcW w:w="5256" w:type="dxa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O.R.N.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(CAPITULOS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7 )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2755" w:type="dxa"/>
          </w:tcPr>
          <w:p>
            <w:pPr>
              <w:pStyle w:val="TableParagraph"/>
              <w:spacing w:line="210" w:lineRule="exact"/>
              <w:ind w:right="649"/>
              <w:jc w:val="right"/>
              <w:rPr>
                <w:sz w:val="20"/>
              </w:rPr>
            </w:pPr>
            <w:r>
              <w:rPr>
                <w:sz w:val="20"/>
              </w:rPr>
              <w:t>31.706.867,73</w:t>
            </w:r>
          </w:p>
        </w:tc>
      </w:tr>
      <w:tr>
        <w:trPr>
          <w:trHeight w:val="532" w:hRule="atLeast"/>
        </w:trPr>
        <w:tc>
          <w:tcPr>
            <w:tcW w:w="5256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DIFERENCIA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(a)-(b)=(c)</w:t>
            </w:r>
          </w:p>
        </w:tc>
        <w:tc>
          <w:tcPr>
            <w:tcW w:w="27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right="7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-448.480,23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6"/>
        <w:gridCol w:w="2755"/>
      </w:tblGrid>
      <w:tr>
        <w:trPr>
          <w:trHeight w:val="232" w:hRule="atLeast"/>
        </w:trPr>
        <w:tc>
          <w:tcPr>
            <w:tcW w:w="52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1"/>
        <w:ind w:left="699" w:right="1034" w:firstLine="708"/>
      </w:pPr>
      <w:r>
        <w:rPr/>
        <w:pict>
          <v:line style="position:absolute;mso-position-horizontal-relative:page;mso-position-vertical-relative:paragraph;z-index:15734272" from="24.35pt,181.345675pt" to="24.35pt,23.935675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-86.829666pt;width:23.8pt;height:582.2pt;mso-position-horizontal-relative:page;mso-position-vertical-relative:paragraph;z-index:-16035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El criterio general establecido en contabilidad nacional para la imputación de la mayor parte de los</w:t>
      </w:r>
      <w:r>
        <w:rPr>
          <w:spacing w:val="1"/>
        </w:rPr>
        <w:t> </w:t>
      </w:r>
      <w:r>
        <w:rPr/>
        <w:t>ingresos, y en concreto para los impuestos y cotizaciones sociales, es el devengo. No obstante, puede haber ingresos</w:t>
      </w:r>
      <w:r>
        <w:rPr>
          <w:spacing w:val="-47"/>
        </w:rPr>
        <w:t> </w:t>
      </w:r>
      <w:r>
        <w:rPr/>
        <w:t>devengados en un ejercicio y que no llegan a recaudarse nunca. Con el fin de evitar el efecto sobre el déficit público</w:t>
      </w:r>
      <w:r>
        <w:rPr>
          <w:spacing w:val="-47"/>
        </w:rPr>
        <w:t> </w:t>
      </w:r>
      <w:r>
        <w:rPr/>
        <w:t>de los ingresos devengados y no cobrados, el Reglamento (CE) Nº 2.516/2000 del Parlamento Europeo y del</w:t>
      </w:r>
      <w:r>
        <w:rPr>
          <w:spacing w:val="1"/>
        </w:rPr>
        <w:t> </w:t>
      </w:r>
      <w:r>
        <w:rPr/>
        <w:t>Consejo de 7 de noviembre de 2000, modificó los criterios inicialmente fijados por el Sistema Europeo de Cuentas,</w:t>
      </w:r>
      <w:r>
        <w:rPr>
          <w:spacing w:val="1"/>
        </w:rPr>
        <w:t> </w:t>
      </w:r>
      <w:r>
        <w:rPr/>
        <w:t>estableciéndose que la capacidad/necesidad de financiación de las administraciones públicas no puede verse</w:t>
      </w:r>
      <w:r>
        <w:rPr>
          <w:spacing w:val="1"/>
        </w:rPr>
        <w:t> </w:t>
      </w:r>
      <w:r>
        <w:rPr/>
        <w:t>afectada</w:t>
      </w:r>
      <w:r>
        <w:rPr>
          <w:spacing w:val="-1"/>
        </w:rPr>
        <w:t> </w:t>
      </w:r>
      <w:r>
        <w:rPr/>
        <w:t>por los</w:t>
      </w:r>
      <w:r>
        <w:rPr>
          <w:spacing w:val="-2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de impuestos</w:t>
      </w:r>
      <w:r>
        <w:rPr>
          <w:spacing w:val="-2"/>
        </w:rPr>
        <w:t> </w:t>
      </w:r>
      <w:r>
        <w:rPr/>
        <w:t>y cotizaciones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recaudación sea</w:t>
      </w:r>
      <w:r>
        <w:rPr>
          <w:spacing w:val="-1"/>
        </w:rPr>
        <w:t> </w:t>
      </w:r>
      <w:r>
        <w:rPr/>
        <w:t>incierta.</w:t>
      </w:r>
    </w:p>
    <w:p>
      <w:pPr>
        <w:pStyle w:val="BodyText"/>
        <w:spacing w:before="120"/>
        <w:ind w:left="699" w:right="1320" w:firstLine="708"/>
      </w:pPr>
      <w:r>
        <w:rPr/>
        <w:t>En el Presupuesto, los ingresos de naturaleza fiscal de las Corporaciones Locales, así como los ingresos</w:t>
      </w:r>
      <w:r>
        <w:rPr>
          <w:spacing w:val="-47"/>
        </w:rPr>
        <w:t> </w:t>
      </w:r>
      <w:r>
        <w:rPr/>
        <w:t>asimilados o directamente relacionados con los ingresos fiscales, se registran en los Capítulos 1 “Impuestos</w:t>
      </w:r>
      <w:r>
        <w:rPr>
          <w:spacing w:val="1"/>
        </w:rPr>
        <w:t> </w:t>
      </w:r>
      <w:r>
        <w:rPr/>
        <w:t>directos”, 2</w:t>
      </w:r>
      <w:r>
        <w:rPr>
          <w:spacing w:val="1"/>
        </w:rPr>
        <w:t> </w:t>
      </w:r>
      <w:r>
        <w:rPr/>
        <w:t>“Impuestos</w:t>
      </w:r>
      <w:r>
        <w:rPr>
          <w:spacing w:val="-2"/>
        </w:rPr>
        <w:t> </w:t>
      </w:r>
      <w:r>
        <w:rPr/>
        <w:t>indirectos” y</w:t>
      </w:r>
      <w:r>
        <w:rPr>
          <w:spacing w:val="1"/>
        </w:rPr>
        <w:t> </w:t>
      </w:r>
      <w:r>
        <w:rPr/>
        <w:t>3 “Tasas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ingresos”.</w:t>
      </w:r>
    </w:p>
    <w:p>
      <w:pPr>
        <w:pStyle w:val="BodyText"/>
        <w:spacing w:before="119"/>
        <w:ind w:left="699" w:right="1556" w:firstLine="705"/>
        <w:jc w:val="both"/>
      </w:pPr>
      <w:r>
        <w:rPr/>
        <w:t>El registro en el Presupuesto de Ingresos se realiza en el momento en que se reconoce el derecho que</w:t>
      </w:r>
      <w:r>
        <w:rPr>
          <w:spacing w:val="-47"/>
        </w:rPr>
        <w:t> </w:t>
      </w:r>
      <w:r>
        <w:rPr/>
        <w:t>puede ser, previo ó simultáneo al cobro, según estemos ante liquidaciones de contraído previo ó sin contraído</w:t>
      </w:r>
      <w:r>
        <w:rPr>
          <w:spacing w:val="-47"/>
        </w:rPr>
        <w:t> </w:t>
      </w:r>
      <w:r>
        <w:rPr/>
        <w:t>previo,</w:t>
      </w:r>
      <w:r>
        <w:rPr>
          <w:spacing w:val="-3"/>
        </w:rPr>
        <w:t> </w:t>
      </w:r>
      <w:r>
        <w:rPr/>
        <w:t>respectivamente.</w:t>
      </w:r>
    </w:p>
    <w:p>
      <w:pPr>
        <w:pStyle w:val="BodyText"/>
        <w:spacing w:before="121"/>
        <w:ind w:left="699" w:right="1048" w:firstLine="705"/>
      </w:pPr>
      <w:r>
        <w:rPr/>
        <w:t>Como consecuencia de la aprobación del citado Reglamento (CE) Nº 2.516/2000, en contabilidad nacional,</w:t>
      </w:r>
      <w:r>
        <w:rPr>
          <w:spacing w:val="-47"/>
        </w:rPr>
        <w:t> </w:t>
      </w:r>
      <w:r>
        <w:rPr/>
        <w:t>el criterio</w:t>
      </w:r>
      <w:r>
        <w:rPr>
          <w:spacing w:val="2"/>
        </w:rPr>
        <w:t> </w:t>
      </w:r>
      <w:r>
        <w:rPr/>
        <w:t>para la</w:t>
      </w:r>
      <w:r>
        <w:rPr>
          <w:spacing w:val="1"/>
        </w:rPr>
        <w:t> </w:t>
      </w:r>
      <w:r>
        <w:rPr/>
        <w:t>imputación</w:t>
      </w:r>
      <w:r>
        <w:rPr>
          <w:spacing w:val="-3"/>
        </w:rPr>
        <w:t> </w:t>
      </w:r>
      <w:r>
        <w:rPr/>
        <w:t>de los ingresos fiscales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asimilados o</w:t>
      </w:r>
      <w:r>
        <w:rPr>
          <w:spacing w:val="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ellos y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efecto en</w:t>
      </w:r>
      <w:r>
        <w:rPr>
          <w:spacing w:val="1"/>
        </w:rPr>
        <w:t> </w:t>
      </w:r>
      <w:r>
        <w:rPr/>
        <w:t>el déficit público,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/>
        <w:t>el de</w:t>
      </w:r>
      <w:r>
        <w:rPr>
          <w:spacing w:val="-1"/>
        </w:rPr>
        <w:t> </w:t>
      </w:r>
      <w:r>
        <w:rPr/>
        <w:t>caja.</w:t>
      </w:r>
    </w:p>
    <w:p>
      <w:pPr>
        <w:pStyle w:val="BodyText"/>
        <w:spacing w:before="119"/>
        <w:ind w:left="699" w:right="1169" w:firstLine="705"/>
      </w:pPr>
      <w:r>
        <w:rPr/>
        <w:t>Por tanto, a efectos de la elaboración de las cuentas de contabilidad nacional, las rúbricas de impuestos se</w:t>
      </w:r>
      <w:r>
        <w:rPr>
          <w:spacing w:val="-47"/>
        </w:rPr>
        <w:t> </w:t>
      </w:r>
      <w:r>
        <w:rPr/>
        <w:t>registran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realizado en caja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ejercicio, 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corriente</w:t>
      </w:r>
      <w:r>
        <w:rPr>
          <w:spacing w:val="-3"/>
        </w:rPr>
        <w:t> </w:t>
      </w:r>
      <w:r>
        <w:rPr/>
        <w:t>o de</w:t>
      </w:r>
      <w:r>
        <w:rPr>
          <w:spacing w:val="-1"/>
        </w:rPr>
        <w:t> </w:t>
      </w:r>
      <w:r>
        <w:rPr/>
        <w:t>cerrados.</w:t>
      </w:r>
    </w:p>
    <w:p>
      <w:pPr>
        <w:pStyle w:val="BodyText"/>
        <w:spacing w:before="121"/>
        <w:ind w:left="699" w:right="1118" w:firstLine="708"/>
      </w:pPr>
      <w:r>
        <w:rPr/>
        <w:t>Este tratamiento se aplica a los ingresos contabilizados en los Capítulos 1, 2 y 3 del Presupuesto de</w:t>
      </w:r>
      <w:r>
        <w:rPr>
          <w:spacing w:val="1"/>
        </w:rPr>
        <w:t> </w:t>
      </w:r>
      <w:r>
        <w:rPr/>
        <w:t>Ingresos de cada Corporación Local, pudiendo hacerse extensivo a otros conceptos no mencionados expresamente</w:t>
      </w:r>
      <w:r>
        <w:rPr>
          <w:spacing w:val="1"/>
        </w:rPr>
        <w:t> </w:t>
      </w:r>
      <w:r>
        <w:rPr/>
        <w:t>cuando se observen diferencias significativas entre los derechos reconocidos y los cobros efectivos. Estos criterios</w:t>
      </w:r>
      <w:r>
        <w:rPr>
          <w:spacing w:val="1"/>
        </w:rPr>
        <w:t> </w:t>
      </w:r>
      <w:r>
        <w:rPr/>
        <w:t>se aplicarán igualmente a aquellos conceptos que, en términos de contabilidad nacional, tengan la consideración de</w:t>
      </w:r>
      <w:r>
        <w:rPr>
          <w:spacing w:val="-47"/>
        </w:rPr>
        <w:t> </w:t>
      </w:r>
      <w:r>
        <w:rPr/>
        <w:t>impuestos</w:t>
      </w:r>
      <w:r>
        <w:rPr>
          <w:spacing w:val="-2"/>
        </w:rPr>
        <w:t> </w:t>
      </w:r>
      <w:r>
        <w:rPr/>
        <w:t>y aparezcan registrados</w:t>
      </w:r>
      <w:r>
        <w:rPr>
          <w:spacing w:val="-2"/>
        </w:rPr>
        <w:t> </w:t>
      </w:r>
      <w:r>
        <w:rPr/>
        <w:t>contablemente</w:t>
      </w:r>
      <w:r>
        <w:rPr>
          <w:spacing w:val="-1"/>
        </w:rPr>
        <w:t> </w:t>
      </w:r>
      <w:r>
        <w:rPr/>
        <w:t>en otros</w:t>
      </w:r>
      <w:r>
        <w:rPr>
          <w:spacing w:val="-2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 de</w:t>
      </w:r>
      <w:r>
        <w:rPr>
          <w:spacing w:val="-3"/>
        </w:rPr>
        <w:t> </w:t>
      </w:r>
      <w:r>
        <w:rPr/>
        <w:t>Ingresos.</w:t>
      </w:r>
    </w:p>
    <w:p>
      <w:pPr>
        <w:pStyle w:val="BodyText"/>
        <w:ind w:left="699" w:right="1103" w:firstLine="708"/>
      </w:pPr>
      <w:r>
        <w:rPr/>
        <w:t>El ajuste derivado de la aplicación práctica del Reglamento (CE) Nº 2516/2000 viene determinado por la</w:t>
      </w:r>
      <w:r>
        <w:rPr>
          <w:spacing w:val="1"/>
        </w:rPr>
        <w:t> </w:t>
      </w:r>
      <w:r>
        <w:rPr/>
        <w:t>diferencia entre los derechos reconocidos por la Corporación Local y la recaudación total en caja correspondiente a</w:t>
      </w:r>
      <w:r>
        <w:rPr>
          <w:spacing w:val="-47"/>
        </w:rPr>
        <w:t> </w:t>
      </w:r>
      <w:r>
        <w:rPr/>
        <w:t>dichos</w:t>
      </w:r>
      <w:r>
        <w:rPr>
          <w:spacing w:val="-2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tanto</w:t>
      </w:r>
      <w:r>
        <w:rPr>
          <w:spacing w:val="-2"/>
        </w:rPr>
        <w:t> </w:t>
      </w:r>
      <w:r>
        <w:rPr/>
        <w:t>del presupuesto corriente como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cerrados</w:t>
      </w:r>
    </w:p>
    <w:p>
      <w:pPr>
        <w:pStyle w:val="BodyText"/>
        <w:spacing w:before="121"/>
        <w:ind w:left="699" w:right="1314" w:firstLine="708"/>
      </w:pPr>
      <w:r>
        <w:rPr/>
        <w:t>A partir de lo señalado podemos concluir que en relación a los ingresos de los capítulo 1 a 3, el SEC 95</w:t>
      </w:r>
      <w:r>
        <w:rPr>
          <w:spacing w:val="-47"/>
        </w:rPr>
        <w:t> </w:t>
      </w:r>
      <w:r>
        <w:rPr/>
        <w:t>sigue el criterio de caja, por lo que, a la hora de analizar la estabilidad presupuestaria, deberá realizarse un ajuste</w:t>
      </w:r>
      <w:r>
        <w:rPr>
          <w:spacing w:val="-47"/>
        </w:rPr>
        <w:t> </w:t>
      </w:r>
      <w:r>
        <w:rPr/>
        <w:t>negativo por importe de la diferencia entre la recaudación neta y los derechos reconocidos netos en los citados</w:t>
      </w:r>
      <w:r>
        <w:rPr>
          <w:spacing w:val="1"/>
        </w:rPr>
        <w:t> </w:t>
      </w:r>
      <w:r>
        <w:rPr/>
        <w:t>capítulos.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819"/>
        <w:gridCol w:w="2249"/>
        <w:gridCol w:w="1541"/>
      </w:tblGrid>
      <w:tr>
        <w:trPr>
          <w:trHeight w:val="253" w:hRule="atLeast"/>
        </w:trPr>
        <w:tc>
          <w:tcPr>
            <w:tcW w:w="1301" w:type="dxa"/>
          </w:tcPr>
          <w:p>
            <w:pPr>
              <w:pStyle w:val="TableParagraph"/>
              <w:spacing w:line="222" w:lineRule="exact" w:before="12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Capítulo</w:t>
            </w:r>
          </w:p>
        </w:tc>
        <w:tc>
          <w:tcPr>
            <w:tcW w:w="1819" w:type="dxa"/>
          </w:tcPr>
          <w:p>
            <w:pPr>
              <w:pStyle w:val="TableParagraph"/>
              <w:spacing w:line="222" w:lineRule="exact" w:before="12"/>
              <w:ind w:left="672" w:right="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DRN</w:t>
            </w:r>
          </w:p>
        </w:tc>
        <w:tc>
          <w:tcPr>
            <w:tcW w:w="2249" w:type="dxa"/>
          </w:tcPr>
          <w:p>
            <w:pPr>
              <w:pStyle w:val="TableParagraph"/>
              <w:spacing w:line="222" w:lineRule="exact" w:before="12"/>
              <w:ind w:left="575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Neta</w:t>
            </w:r>
          </w:p>
        </w:tc>
        <w:tc>
          <w:tcPr>
            <w:tcW w:w="1541" w:type="dxa"/>
          </w:tcPr>
          <w:p>
            <w:pPr>
              <w:pStyle w:val="TableParagraph"/>
              <w:spacing w:line="222" w:lineRule="exact" w:before="12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Ajuste</w:t>
            </w:r>
          </w:p>
        </w:tc>
      </w:tr>
      <w:tr>
        <w:trPr>
          <w:trHeight w:val="256" w:hRule="atLeast"/>
        </w:trPr>
        <w:tc>
          <w:tcPr>
            <w:tcW w:w="1301" w:type="dxa"/>
          </w:tcPr>
          <w:p>
            <w:pPr>
              <w:pStyle w:val="TableParagraph"/>
              <w:spacing w:line="224" w:lineRule="exact" w:before="1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819" w:type="dxa"/>
          </w:tcPr>
          <w:p>
            <w:pPr>
              <w:pStyle w:val="TableParagraph"/>
              <w:spacing w:line="224" w:lineRule="exact" w:before="12"/>
              <w:ind w:left="333"/>
              <w:rPr>
                <w:sz w:val="20"/>
              </w:rPr>
            </w:pPr>
            <w:r>
              <w:rPr>
                <w:sz w:val="20"/>
              </w:rPr>
              <w:t>10.578.398,23</w:t>
            </w:r>
          </w:p>
        </w:tc>
        <w:tc>
          <w:tcPr>
            <w:tcW w:w="2249" w:type="dxa"/>
          </w:tcPr>
          <w:p>
            <w:pPr>
              <w:pStyle w:val="TableParagraph"/>
              <w:spacing w:line="224" w:lineRule="exact" w:before="12"/>
              <w:ind w:left="578" w:right="570"/>
              <w:jc w:val="center"/>
              <w:rPr>
                <w:sz w:val="20"/>
              </w:rPr>
            </w:pPr>
            <w:r>
              <w:rPr>
                <w:sz w:val="20"/>
              </w:rPr>
              <w:t>8.501.642,39</w:t>
            </w:r>
          </w:p>
        </w:tc>
        <w:tc>
          <w:tcPr>
            <w:tcW w:w="1541" w:type="dxa"/>
          </w:tcPr>
          <w:p>
            <w:pPr>
              <w:pStyle w:val="TableParagraph"/>
              <w:spacing w:line="224" w:lineRule="exact" w:before="12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2.076.755,84</w:t>
            </w:r>
          </w:p>
        </w:tc>
      </w:tr>
      <w:tr>
        <w:trPr>
          <w:trHeight w:val="253" w:hRule="atLeast"/>
        </w:trPr>
        <w:tc>
          <w:tcPr>
            <w:tcW w:w="1301" w:type="dxa"/>
          </w:tcPr>
          <w:p>
            <w:pPr>
              <w:pStyle w:val="TableParagraph"/>
              <w:spacing w:line="222" w:lineRule="exact" w:before="12"/>
              <w:ind w:left="206" w:right="20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819" w:type="dxa"/>
          </w:tcPr>
          <w:p>
            <w:pPr>
              <w:pStyle w:val="TableParagraph"/>
              <w:spacing w:line="222" w:lineRule="exact" w:before="12"/>
              <w:ind w:left="383"/>
              <w:rPr>
                <w:sz w:val="20"/>
              </w:rPr>
            </w:pPr>
            <w:r>
              <w:rPr>
                <w:sz w:val="20"/>
              </w:rPr>
              <w:t>4.200.466,54</w:t>
            </w:r>
          </w:p>
        </w:tc>
        <w:tc>
          <w:tcPr>
            <w:tcW w:w="2249" w:type="dxa"/>
          </w:tcPr>
          <w:p>
            <w:pPr>
              <w:pStyle w:val="TableParagraph"/>
              <w:spacing w:line="222" w:lineRule="exact" w:before="12"/>
              <w:ind w:left="578" w:right="570"/>
              <w:jc w:val="center"/>
              <w:rPr>
                <w:sz w:val="20"/>
              </w:rPr>
            </w:pPr>
            <w:r>
              <w:rPr>
                <w:sz w:val="20"/>
              </w:rPr>
              <w:t>4.200.466,54</w:t>
            </w:r>
          </w:p>
        </w:tc>
        <w:tc>
          <w:tcPr>
            <w:tcW w:w="1541" w:type="dxa"/>
          </w:tcPr>
          <w:p>
            <w:pPr>
              <w:pStyle w:val="TableParagraph"/>
              <w:spacing w:line="222" w:lineRule="exact" w:before="12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-0</w:t>
            </w:r>
          </w:p>
        </w:tc>
      </w:tr>
      <w:tr>
        <w:trPr>
          <w:trHeight w:val="253" w:hRule="atLeast"/>
        </w:trPr>
        <w:tc>
          <w:tcPr>
            <w:tcW w:w="1301" w:type="dxa"/>
          </w:tcPr>
          <w:p>
            <w:pPr>
              <w:pStyle w:val="TableParagraph"/>
              <w:spacing w:line="222" w:lineRule="exact" w:before="12"/>
              <w:ind w:left="211" w:right="20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(Tasas)</w:t>
            </w:r>
          </w:p>
        </w:tc>
        <w:tc>
          <w:tcPr>
            <w:tcW w:w="1819" w:type="dxa"/>
          </w:tcPr>
          <w:p>
            <w:pPr>
              <w:pStyle w:val="TableParagraph"/>
              <w:spacing w:line="222" w:lineRule="exact" w:before="12"/>
              <w:ind w:left="383"/>
              <w:rPr>
                <w:sz w:val="20"/>
              </w:rPr>
            </w:pPr>
            <w:r>
              <w:rPr>
                <w:sz w:val="20"/>
              </w:rPr>
              <w:t>4.188.592,57</w:t>
            </w:r>
          </w:p>
        </w:tc>
        <w:tc>
          <w:tcPr>
            <w:tcW w:w="2249" w:type="dxa"/>
          </w:tcPr>
          <w:p>
            <w:pPr>
              <w:pStyle w:val="TableParagraph"/>
              <w:spacing w:line="222" w:lineRule="exact" w:before="12"/>
              <w:ind w:left="578" w:right="570"/>
              <w:jc w:val="center"/>
              <w:rPr>
                <w:sz w:val="20"/>
              </w:rPr>
            </w:pPr>
            <w:r>
              <w:rPr>
                <w:sz w:val="20"/>
              </w:rPr>
              <w:t>3.346.411,22</w:t>
            </w:r>
          </w:p>
        </w:tc>
        <w:tc>
          <w:tcPr>
            <w:tcW w:w="1541" w:type="dxa"/>
          </w:tcPr>
          <w:p>
            <w:pPr>
              <w:pStyle w:val="TableParagraph"/>
              <w:spacing w:line="222" w:lineRule="exact" w:before="12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842.181,35</w:t>
            </w:r>
          </w:p>
        </w:tc>
      </w:tr>
      <w:tr>
        <w:trPr>
          <w:trHeight w:val="256" w:hRule="atLeast"/>
        </w:trPr>
        <w:tc>
          <w:tcPr>
            <w:tcW w:w="1301" w:type="dxa"/>
          </w:tcPr>
          <w:p>
            <w:pPr>
              <w:pStyle w:val="TableParagraph"/>
              <w:spacing w:line="222" w:lineRule="exact" w:before="14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22" w:lineRule="exact" w:before="14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2.918.937,19</w:t>
            </w:r>
          </w:p>
        </w:tc>
      </w:tr>
    </w:tbl>
    <w:p>
      <w:pPr>
        <w:spacing w:after="0" w:line="222" w:lineRule="exact"/>
        <w:jc w:val="center"/>
        <w:rPr>
          <w:sz w:val="20"/>
        </w:rPr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pict>
          <v:shape style="position:absolute;margin-left:.597812pt;margin-top:-49.859646pt;width:10.95pt;height:582.2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12pt;margin-top:14.495308pt;width:525.5pt;height:204.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"/>
                    <w:gridCol w:w="1121"/>
                    <w:gridCol w:w="3048"/>
                    <w:gridCol w:w="1642"/>
                    <w:gridCol w:w="1892"/>
                    <w:gridCol w:w="2605"/>
                  </w:tblGrid>
                  <w:tr>
                    <w:trPr>
                      <w:trHeight w:val="930" w:hRule="atLeast"/>
                    </w:trPr>
                    <w:tc>
                      <w:tcPr>
                        <w:tcW w:w="1296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Capítulos</w:t>
                        </w:r>
                      </w:p>
                    </w:tc>
                    <w:tc>
                      <w:tcPr>
                        <w:tcW w:w="30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a)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Derechos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reconocidos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31/12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48" w:right="353" w:hanging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b) </w:t>
                        </w:r>
                        <w:r>
                          <w:rPr>
                            <w:b/>
                            <w:sz w:val="20"/>
                          </w:rPr>
                          <w:t>Ajustes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positivos</w:t>
                        </w:r>
                      </w:p>
                    </w:tc>
                    <w:tc>
                      <w:tcPr>
                        <w:tcW w:w="18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c)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Ajustes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negativos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6" w:right="372" w:firstLine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d) Total Ingresos no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financieros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ajustados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75" w:type="dxa"/>
                        <w:tcBorders>
                          <w:right w:val="single" w:sz="6" w:space="0" w:color="0000FF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left w:val="single" w:sz="6" w:space="0" w:color="0000FF"/>
                        </w:tcBorders>
                      </w:tcPr>
                      <w:p>
                        <w:pPr>
                          <w:pStyle w:val="TableParagraph"/>
                          <w:spacing w:line="229" w:lineRule="exact" w:before="21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3048" w:type="dxa"/>
                      </w:tcPr>
                      <w:p>
                        <w:pPr>
                          <w:pStyle w:val="TableParagraph"/>
                          <w:spacing w:line="229" w:lineRule="exact" w:before="21"/>
                          <w:ind w:left="981" w:right="9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31.258.387,5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line="229" w:lineRule="exact" w:before="21"/>
                          <w:ind w:left="625" w:right="6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892" w:type="dxa"/>
                      </w:tcPr>
                      <w:p>
                        <w:pPr>
                          <w:pStyle w:val="TableParagraph"/>
                          <w:spacing w:line="229" w:lineRule="exact" w:before="21"/>
                          <w:ind w:left="342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2.918.937,19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spacing w:line="229" w:lineRule="exact" w:before="21"/>
                          <w:ind w:left="7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28.339.450,31</w:t>
                        </w:r>
                      </w:p>
                    </w:tc>
                  </w:tr>
                  <w:tr>
                    <w:trPr>
                      <w:trHeight w:val="2816" w:hRule="atLeast"/>
                    </w:trPr>
                    <w:tc>
                      <w:tcPr>
                        <w:tcW w:w="175" w:type="dxa"/>
                        <w:tcBorders>
                          <w:left w:val="nil"/>
                          <w:bottom w:val="nil"/>
                          <w:right w:val="single" w:sz="6" w:space="0" w:color="0000FF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148" w:lineRule="exact"/>
                          <w:ind w:right="-44"/>
                          <w:rPr>
                            <w:rFonts w:ascii="Arial MT"/>
                            <w:sz w:val="16"/>
                          </w:rPr>
                        </w:pPr>
                        <w:hyperlink r:id="rId9"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http://sede.ayuntamientodetias.es/valida</w:t>
                          </w:r>
                        </w:hyperlink>
                      </w:p>
                    </w:tc>
                    <w:tc>
                      <w:tcPr>
                        <w:tcW w:w="10308" w:type="dxa"/>
                        <w:gridSpan w:val="5"/>
                        <w:tcBorders>
                          <w:left w:val="single" w:sz="6" w:space="0" w:color="0000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46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AJUSTADOS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53"/>
        <w:ind w:left="983" w:right="1222" w:firstLine="0"/>
        <w:jc w:val="left"/>
        <w:rPr>
          <w:b/>
          <w:sz w:val="20"/>
        </w:rPr>
      </w:pPr>
      <w:r>
        <w:rPr/>
        <w:pict>
          <v:shape style="position:absolute;margin-left:13.437813pt;margin-top:-27.538683pt;width:10.95pt;height:16.7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0000FF"/>
                      <w:sz w:val="16"/>
                    </w:rPr>
                    <w:t>cion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OTROS AJUSTES: Anualmente,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 computará el incremento en el saldo de la cuenta 413 “Acreedores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por operaciones pendientes de aplicar a presupuesto” que recoge las obligaciones derivadas de gastos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realizados o bienes y servicios recibidos, para los que no se ha producido su aplicación a presupuesto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siendo procedente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misma.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ind w:left="983"/>
      </w:pPr>
      <w:r>
        <w:rPr/>
        <w:t>Justificación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ajuste</w:t>
      </w:r>
    </w:p>
    <w:p>
      <w:pPr>
        <w:pStyle w:val="BodyText"/>
        <w:spacing w:before="120"/>
        <w:ind w:left="983" w:right="1051" w:firstLine="424"/>
      </w:pPr>
      <w:r>
        <w:rPr/>
        <w:pict>
          <v:shape style="position:absolute;margin-left:13.437813pt;margin-top:43.467606pt;width:10.95pt;height:312.850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</w:t>
                  </w:r>
                </w:p>
              </w:txbxContent>
            </v:textbox>
            <w10:wrap type="none"/>
          </v:shape>
        </w:pict>
      </w:r>
      <w:r>
        <w:rPr/>
        <w:t>Desde el punto de vista de la contabilidad nacional, el gasto devengado en el ejercicio n debe considerarse,</w:t>
      </w:r>
      <w:r>
        <w:rPr>
          <w:spacing w:val="-47"/>
        </w:rPr>
        <w:t> </w:t>
      </w:r>
      <w:r>
        <w:rPr/>
        <w:t>en contabilidad presupuestaria, al no haberse dictado el acto administrativo por el que se reconoce la obligación,</w:t>
      </w:r>
      <w:r>
        <w:rPr>
          <w:spacing w:val="-47"/>
        </w:rPr>
        <w:t> </w:t>
      </w:r>
      <w:r>
        <w:rPr/>
        <w:t>dicho gasto no será aplicado presupuestariamente hasta el ejercicio n+1. En consecuencia, en el año n habrá que</w:t>
      </w:r>
      <w:r>
        <w:rPr>
          <w:spacing w:val="-47"/>
        </w:rPr>
        <w:t> </w:t>
      </w:r>
      <w:r>
        <w:rPr/>
        <w:t>realizar un ajuste de mayor déficit. Al año siguiente, cuando dicho gasto se impute a presupuesto, se practicará</w:t>
      </w:r>
      <w:r>
        <w:rPr>
          <w:spacing w:val="1"/>
        </w:rPr>
        <w:t> </w:t>
      </w:r>
      <w:r>
        <w:rPr/>
        <w:t>un ajuste en sentido inverso, disminuyendo el déficit en contabilidad nacional con relación al déficit</w:t>
      </w:r>
      <w:r>
        <w:rPr>
          <w:spacing w:val="1"/>
        </w:rPr>
        <w:t> </w:t>
      </w:r>
      <w:r>
        <w:rPr/>
        <w:t>presupuestario.</w:t>
      </w:r>
    </w:p>
    <w:p>
      <w:pPr>
        <w:pStyle w:val="Heading1"/>
        <w:spacing w:before="121"/>
        <w:ind w:left="983"/>
      </w:pPr>
      <w:r>
        <w:rPr/>
        <w:t>Conclusión</w:t>
      </w:r>
    </w:p>
    <w:p>
      <w:pPr>
        <w:pStyle w:val="BodyText"/>
        <w:spacing w:before="120"/>
        <w:ind w:left="983" w:right="1096"/>
      </w:pPr>
      <w:r>
        <w:rPr/>
        <w:t>A partir de lo señalado el ajuste a realizar respondería a la modificación del saldo de la cuenta 413. No obstante</w:t>
      </w:r>
      <w:r>
        <w:rPr>
          <w:spacing w:val="-47"/>
        </w:rPr>
        <w:t> </w:t>
      </w:r>
      <w:r>
        <w:rPr/>
        <w:t>a lo anterior, en el presente caso el ajuste es positivo. En este sentido la comparación se realizará entre la</w:t>
      </w:r>
      <w:r>
        <w:rPr>
          <w:spacing w:val="1"/>
        </w:rPr>
        <w:t> </w:t>
      </w:r>
      <w:r>
        <w:rPr/>
        <w:t>dotación a fin de ejercicio</w:t>
      </w:r>
      <w:r>
        <w:rPr>
          <w:spacing w:val="1"/>
        </w:rPr>
        <w:t> </w:t>
      </w:r>
      <w:r>
        <w:rPr/>
        <w:t>y lo que había a inicio de dicho ejercicio. En este sentido el criterio que ha seguido</w:t>
      </w:r>
      <w:r>
        <w:rPr>
          <w:spacing w:val="1"/>
        </w:rPr>
        <w:t> </w:t>
      </w:r>
      <w:r>
        <w:rPr/>
        <w:t>esta intervención para realizar el asiento directo es incluir el saldo de aquellas facturas que cuentan con</w:t>
      </w:r>
      <w:r>
        <w:rPr>
          <w:spacing w:val="1"/>
        </w:rPr>
        <w:t> </w:t>
      </w:r>
      <w:r>
        <w:rPr/>
        <w:t>conformidad del área y que determina que el servicio o trabajo está prestado. En conclusión, forman parte de la</w:t>
      </w:r>
      <w:r>
        <w:rPr>
          <w:spacing w:val="1"/>
        </w:rPr>
        <w:t> </w:t>
      </w:r>
      <w:r>
        <w:rPr/>
        <w:t>misma las facturas que hayan quedado pendientes de reconocer a la finalización del ejercicio con registro de</w:t>
      </w:r>
      <w:r>
        <w:rPr>
          <w:spacing w:val="1"/>
        </w:rPr>
        <w:t> </w:t>
      </w:r>
      <w:r>
        <w:rPr/>
        <w:t>entrada en la entidad y que poseen conformidad acreditativa de que los trabajos se han realizado y el saldo de la</w:t>
      </w:r>
      <w:r>
        <w:rPr>
          <w:spacing w:val="-47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pagos</w:t>
      </w:r>
      <w:r>
        <w:rPr>
          <w:spacing w:val="-3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aplicación.</w:t>
      </w:r>
      <w:r>
        <w:rPr>
          <w:spacing w:val="-1"/>
        </w:rPr>
        <w:t> </w:t>
      </w:r>
      <w:r>
        <w:rPr/>
        <w:t>Por tanto,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ajuste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practicar se</w:t>
      </w:r>
      <w:r>
        <w:rPr>
          <w:spacing w:val="-2"/>
        </w:rPr>
        <w:t> </w:t>
      </w:r>
      <w:r>
        <w:rPr/>
        <w:t>acomoda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detalle:</w:t>
      </w: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3401"/>
        <w:gridCol w:w="1620"/>
        <w:gridCol w:w="2040"/>
        <w:gridCol w:w="1740"/>
      </w:tblGrid>
      <w:tr>
        <w:trPr>
          <w:trHeight w:val="700" w:hRule="atLeast"/>
        </w:trPr>
        <w:tc>
          <w:tcPr>
            <w:tcW w:w="1080" w:type="dxa"/>
          </w:tcPr>
          <w:p>
            <w:pPr>
              <w:pStyle w:val="TableParagraph"/>
              <w:spacing w:before="175"/>
              <w:ind w:left="352"/>
              <w:rPr>
                <w:sz w:val="20"/>
              </w:rPr>
            </w:pPr>
            <w:r>
              <w:rPr>
                <w:sz w:val="20"/>
              </w:rPr>
              <w:t>Cuenta</w:t>
            </w:r>
          </w:p>
        </w:tc>
        <w:tc>
          <w:tcPr>
            <w:tcW w:w="3401" w:type="dxa"/>
          </w:tcPr>
          <w:p>
            <w:pPr>
              <w:pStyle w:val="TableParagraph"/>
              <w:spacing w:before="175"/>
              <w:ind w:left="35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5"/>
              <w:ind w:left="63" w:right="56"/>
              <w:jc w:val="center"/>
              <w:rPr>
                <w:sz w:val="20"/>
              </w:rPr>
            </w:pPr>
            <w:r>
              <w:rPr>
                <w:sz w:val="20"/>
              </w:rPr>
              <w:t>a)Saldo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año</w:t>
            </w:r>
          </w:p>
        </w:tc>
        <w:tc>
          <w:tcPr>
            <w:tcW w:w="2040" w:type="dxa"/>
          </w:tcPr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</w:t>
            </w:r>
          </w:p>
          <w:p>
            <w:pPr>
              <w:pStyle w:val="TableParagraph"/>
              <w:spacing w:before="120"/>
              <w:ind w:left="997" w:right="704"/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5"/>
              <w:ind w:left="352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Ajuste</w:t>
            </w:r>
          </w:p>
        </w:tc>
      </w:tr>
      <w:tr>
        <w:trPr>
          <w:trHeight w:val="765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3401" w:type="dxa"/>
          </w:tcPr>
          <w:p>
            <w:pPr>
              <w:pStyle w:val="TableParagraph"/>
              <w:spacing w:before="94"/>
              <w:ind w:left="352" w:right="175"/>
              <w:rPr>
                <w:sz w:val="20"/>
              </w:rPr>
            </w:pPr>
            <w:r>
              <w:rPr>
                <w:sz w:val="20"/>
              </w:rPr>
              <w:t>Acreedores por operaciones ptes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aplicar al Ppto.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4" w:right="56"/>
              <w:jc w:val="center"/>
              <w:rPr>
                <w:sz w:val="20"/>
              </w:rPr>
            </w:pPr>
            <w:r>
              <w:rPr>
                <w:sz w:val="20"/>
              </w:rPr>
              <w:t>684.952,65</w:t>
            </w:r>
          </w:p>
        </w:tc>
        <w:tc>
          <w:tcPr>
            <w:tcW w:w="204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569.372,24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115.580,41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1"/>
        <w:spacing w:before="98"/>
        <w:ind w:right="1034"/>
        <w:jc w:val="both"/>
      </w:pPr>
      <w:r>
        <w:rPr/>
        <w:t>CÁLCULO DE LA CAPACIDAD/NECESIDAD DE FINANCIACIÓN DERIVADA DEL 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31/12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7"/>
        </w:rPr>
        <w:t> </w:t>
      </w:r>
      <w:r>
        <w:rPr/>
        <w:t>EXTRAEN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 LIQUIDACIÓN DEL</w:t>
      </w:r>
      <w:r>
        <w:rPr>
          <w:spacing w:val="-1"/>
        </w:rPr>
        <w:t> </w:t>
      </w:r>
      <w:r>
        <w:rPr/>
        <w:t>EJERCICIO</w:t>
      </w:r>
    </w:p>
    <w:p>
      <w:pPr>
        <w:pStyle w:val="BodyText"/>
        <w:spacing w:before="118"/>
        <w:ind w:left="700" w:right="1028" w:firstLine="707"/>
        <w:jc w:val="both"/>
      </w:pPr>
      <w:r>
        <w:rPr/>
        <w:t>Se aprecia en el cuadro siguiente la diferencia entre los importes presupuestados en los capítulos 1 a 7 de</w:t>
      </w:r>
      <w:r>
        <w:rPr>
          <w:spacing w:val="1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ingresos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capítulos</w:t>
      </w:r>
      <w:r>
        <w:rPr>
          <w:spacing w:val="7"/>
        </w:rPr>
        <w:t> </w:t>
      </w:r>
      <w:r>
        <w:rPr/>
        <w:t>1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7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gastos,</w:t>
      </w:r>
      <w:r>
        <w:rPr>
          <w:spacing w:val="8"/>
        </w:rPr>
        <w:t> </w:t>
      </w:r>
      <w:r>
        <w:rPr/>
        <w:t>previa</w:t>
      </w:r>
      <w:r>
        <w:rPr>
          <w:spacing w:val="8"/>
        </w:rPr>
        <w:t> </w:t>
      </w:r>
      <w:r>
        <w:rPr/>
        <w:t>aplicación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ajustes</w:t>
      </w:r>
      <w:r>
        <w:rPr>
          <w:spacing w:val="7"/>
        </w:rPr>
        <w:t> </w:t>
      </w:r>
      <w:r>
        <w:rPr/>
        <w:t>descritos.</w:t>
      </w:r>
      <w:r>
        <w:rPr>
          <w:spacing w:val="11"/>
        </w:rPr>
        <w:t> </w:t>
      </w:r>
      <w:r>
        <w:rPr/>
        <w:t>Donde</w:t>
      </w:r>
      <w:r>
        <w:rPr>
          <w:spacing w:val="-47"/>
        </w:rPr>
        <w:t> </w:t>
      </w:r>
      <w:r>
        <w:rPr/>
        <w:t>d) = a)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b)</w:t>
      </w:r>
      <w:r>
        <w:rPr>
          <w:spacing w:val="-2"/>
        </w:rPr>
        <w:t> </w:t>
      </w:r>
      <w:r>
        <w:rPr/>
        <w:t>+ c)</w:t>
      </w:r>
    </w:p>
    <w:p>
      <w:pPr>
        <w:spacing w:after="0"/>
        <w:jc w:val="both"/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1"/>
        <w:gridCol w:w="2021"/>
      </w:tblGrid>
      <w:tr>
        <w:trPr>
          <w:trHeight w:val="256" w:hRule="atLeast"/>
        </w:trPr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4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LIQUIDACIÓN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PRESUPUESTO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14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253" w:hRule="atLeast"/>
        </w:trPr>
        <w:tc>
          <w:tcPr>
            <w:tcW w:w="5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2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CAPÍTULOS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AJUSTADOS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12"/>
              <w:ind w:right="4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28.339.450,31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256" w:hRule="atLeast"/>
        </w:trPr>
        <w:tc>
          <w:tcPr>
            <w:tcW w:w="5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4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CAPÍTULOS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AJUSTADOS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14"/>
              <w:ind w:right="4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31.706.867,73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349" w:hRule="atLeast"/>
        </w:trPr>
        <w:tc>
          <w:tcPr>
            <w:tcW w:w="5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AJUSTES: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115.580,41</w:t>
            </w:r>
          </w:p>
        </w:tc>
      </w:tr>
      <w:tr>
        <w:trPr>
          <w:trHeight w:val="270" w:hRule="atLeast"/>
        </w:trPr>
        <w:tc>
          <w:tcPr>
            <w:tcW w:w="54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6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CAPACIDAD/NECESIDAD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3.251.837,01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6133" w:val="left" w:leader="none"/>
        </w:tabs>
        <w:spacing w:before="91"/>
        <w:ind w:left="699" w:right="1050" w:firstLine="708"/>
      </w:pPr>
      <w:r>
        <w:rPr/>
        <w:pict>
          <v:line style="position:absolute;mso-position-horizontal-relative:page;mso-position-vertical-relative:paragraph;z-index:15737344" from="24.35pt,132.025728pt" to="24.35pt,-25.384272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-136.149612pt;width:23.8pt;height:582.2pt;mso-position-horizontal-relative:page;mso-position-vertical-relative:paragraph;z-index:-16032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Se puede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en este informe,</w:t>
      </w:r>
      <w:r>
        <w:rPr>
          <w:spacing w:val="2"/>
        </w:rPr>
        <w:t> </w:t>
      </w:r>
      <w:r>
        <w:rPr/>
        <w:t>a efectos de</w:t>
      </w:r>
      <w:r>
        <w:rPr>
          <w:spacing w:val="-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presupuestaria,  afirmando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liquidación</w:t>
      </w:r>
      <w:r>
        <w:rPr>
          <w:spacing w:val="1"/>
        </w:rPr>
        <w:t> </w:t>
      </w:r>
      <w:r>
        <w:rPr/>
        <w:t>del presupuesto municipal de esta corporación para el ejercicio </w:t>
      </w:r>
      <w:r>
        <w:rPr>
          <w:b/>
        </w:rPr>
        <w:t>2022 </w:t>
      </w:r>
      <w:r>
        <w:rPr/>
        <w:t>no cumple el objetivo</w:t>
      </w:r>
      <w:r>
        <w:rPr>
          <w:spacing w:val="1"/>
        </w:rPr>
        <w:t> </w:t>
      </w:r>
      <w:r>
        <w:rPr/>
        <w:t>de estabilidad</w:t>
      </w:r>
      <w:r>
        <w:rPr>
          <w:spacing w:val="1"/>
        </w:rPr>
        <w:t> </w:t>
      </w:r>
      <w:r>
        <w:rPr/>
        <w:t>presupuestaria entendido como la situación de equilibrio o de superávit en términos de capacidad de financiación de</w:t>
      </w:r>
      <w:r>
        <w:rPr>
          <w:spacing w:val="-47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definición</w:t>
      </w:r>
      <w:r>
        <w:rPr>
          <w:spacing w:val="-3"/>
        </w:rPr>
        <w:t> </w:t>
      </w:r>
      <w:r>
        <w:rPr/>
        <w:t>contenida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SEC</w:t>
      </w:r>
      <w:r>
        <w:rPr>
          <w:spacing w:val="-2"/>
        </w:rPr>
        <w:t> </w:t>
      </w:r>
      <w:r>
        <w:rPr/>
        <w:t>95,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  <w:tab/>
        <w:t>- </w:t>
      </w:r>
      <w:r>
        <w:rPr>
          <w:b/>
        </w:rPr>
        <w:t>3.251.837,01º</w:t>
      </w:r>
      <w:r>
        <w:rPr>
          <w:b/>
          <w:spacing w:val="1"/>
        </w:rPr>
        <w:t> </w:t>
      </w:r>
      <w:r>
        <w:rPr/>
        <w:t>euros. Se observa que el</w:t>
      </w:r>
      <w:r>
        <w:rPr>
          <w:spacing w:val="1"/>
        </w:rPr>
        <w:t> </w:t>
      </w:r>
      <w:r>
        <w:rPr/>
        <w:t>ejercicio por lo</w:t>
      </w:r>
      <w:r>
        <w:rPr>
          <w:spacing w:val="1"/>
        </w:rPr>
        <w:t> </w:t>
      </w:r>
      <w:r>
        <w:rPr/>
        <w:t>tanto se ha</w:t>
      </w:r>
      <w:r>
        <w:rPr>
          <w:spacing w:val="-3"/>
        </w:rPr>
        <w:t> </w:t>
      </w:r>
      <w:r>
        <w:rPr/>
        <w:t>liquidado</w:t>
      </w:r>
      <w:r>
        <w:rPr>
          <w:spacing w:val="1"/>
        </w:rPr>
        <w:t> </w:t>
      </w:r>
      <w:r>
        <w:rPr/>
        <w:t>en situación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408" w:right="0" w:firstLine="0"/>
        <w:jc w:val="left"/>
        <w:rPr>
          <w:b/>
          <w:i/>
          <w:sz w:val="20"/>
        </w:rPr>
      </w:pPr>
      <w:r>
        <w:rPr>
          <w:sz w:val="20"/>
        </w:rPr>
        <w:t>4º.-</w:t>
      </w:r>
      <w:r>
        <w:rPr>
          <w:spacing w:val="-2"/>
          <w:sz w:val="20"/>
        </w:rPr>
        <w:t> </w:t>
      </w:r>
      <w:r>
        <w:rPr>
          <w:b/>
          <w:i/>
          <w:sz w:val="20"/>
          <w:u w:val="single"/>
        </w:rPr>
        <w:t>REGLA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GASTO</w:t>
      </w:r>
    </w:p>
    <w:p>
      <w:pPr>
        <w:pStyle w:val="BodyText"/>
        <w:spacing w:before="118"/>
        <w:ind w:left="699" w:right="1094" w:firstLine="708"/>
      </w:pPr>
      <w:r>
        <w:rPr/>
        <w:t>Respecto a la regla de gasto cabe decir que la misma se encuentra actualmente en suspenso por acuerdo de</w:t>
      </w:r>
      <w:r>
        <w:rPr>
          <w:spacing w:val="-47"/>
        </w:rPr>
        <w:t> </w:t>
      </w:r>
      <w:r>
        <w:rPr/>
        <w:t>16 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Ministros.</w:t>
      </w:r>
    </w:p>
    <w:p>
      <w:pPr>
        <w:pStyle w:val="BodyText"/>
        <w:spacing w:before="1"/>
      </w:pPr>
    </w:p>
    <w:p>
      <w:pPr>
        <w:spacing w:before="0"/>
        <w:ind w:left="485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IV.-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RESULTADO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INFORME</w:t>
      </w:r>
    </w:p>
    <w:p>
      <w:pPr>
        <w:pStyle w:val="BodyText"/>
        <w:spacing w:before="5"/>
        <w:rPr>
          <w:b/>
          <w:sz w:val="11"/>
        </w:rPr>
      </w:pPr>
    </w:p>
    <w:p>
      <w:pPr>
        <w:spacing w:before="97"/>
        <w:ind w:left="699" w:right="1222" w:firstLine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expediente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b/>
          <w:sz w:val="20"/>
        </w:rPr>
        <w:t>2022</w:t>
      </w:r>
      <w:r>
        <w:rPr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i/>
          <w:sz w:val="20"/>
        </w:rPr>
        <w:t>INFORMA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SIGUIENTES OBSERVACIONES</w:t>
      </w:r>
      <w:r>
        <w:rPr>
          <w:sz w:val="20"/>
        </w:rPr>
        <w:t>:.</w:t>
      </w:r>
    </w:p>
    <w:p>
      <w:pPr>
        <w:pStyle w:val="BodyText"/>
        <w:spacing w:before="1"/>
      </w:pPr>
    </w:p>
    <w:p>
      <w:pPr>
        <w:pStyle w:val="BodyText"/>
        <w:ind w:left="700" w:right="1485" w:firstLine="360"/>
      </w:pPr>
      <w:r>
        <w:rPr/>
        <w:t>1.- Indicar que la liquidación recoge fielmente las operaciones contables tanto de gastos como de ingresos</w:t>
      </w:r>
      <w:r>
        <w:rPr>
          <w:spacing w:val="-47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esta corporación a lo</w:t>
      </w:r>
      <w:r>
        <w:rPr>
          <w:spacing w:val="1"/>
        </w:rPr>
        <w:t> </w:t>
      </w:r>
      <w:r>
        <w:rPr/>
        <w:t>largo del 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60"/>
      </w:pPr>
      <w:r>
        <w:rPr/>
        <w:t>2.-</w:t>
      </w:r>
      <w:r>
        <w:rPr>
          <w:spacing w:val="47"/>
        </w:rPr>
        <w:t> </w:t>
      </w:r>
      <w:r>
        <w:rPr/>
        <w:t>No existe</w:t>
      </w:r>
      <w:r>
        <w:rPr>
          <w:spacing w:val="-2"/>
        </w:rPr>
        <w:t> </w:t>
      </w:r>
      <w:r>
        <w:rPr/>
        <w:t>deuda</w:t>
      </w:r>
      <w:r>
        <w:rPr>
          <w:spacing w:val="-1"/>
        </w:rPr>
        <w:t> </w:t>
      </w:r>
      <w:r>
        <w:rPr/>
        <w:t>viva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700" w:right="1178" w:firstLine="360"/>
      </w:pPr>
      <w:r>
        <w:rPr/>
        <w:t>3.- Respecto de las obligaciones reconocidas hay que señalar que en el ejercicio se ha procedido al</w:t>
      </w:r>
      <w:r>
        <w:rPr>
          <w:spacing w:val="1"/>
        </w:rPr>
        <w:t> </w:t>
      </w:r>
      <w:r>
        <w:rPr/>
        <w:t>reconocimiento de una cuantía tremendamente superior en 2022 respecto de 2021 en aproximadamente 6 millones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euros.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tenerse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cantidad.</w:t>
      </w:r>
      <w:r>
        <w:rPr>
          <w:spacing w:val="-1"/>
        </w:rPr>
        <w:t> </w:t>
      </w:r>
      <w:r>
        <w:rPr/>
        <w:t>3,5</w:t>
      </w:r>
      <w:r>
        <w:rPr>
          <w:spacing w:val="-1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corresponden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pago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remanente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tesoreria de la sentencia de Colony Club y otras deudas de ejercicios anteriores con lo que hablamos realmente de</w:t>
      </w:r>
      <w:r>
        <w:rPr>
          <w:spacing w:val="1"/>
        </w:rPr>
        <w:t> </w:t>
      </w:r>
      <w:r>
        <w:rPr/>
        <w:t>un aumento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unos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millones.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700" w:right="1222" w:firstLine="360"/>
      </w:pPr>
      <w:r>
        <w:rPr/>
        <w:t>Se mantiene el capítulo 1 y en cuanto al capítulo 6 disminuyen en 1,9 millones las obligaciones reconocidas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teniéndose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casi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financiación</w:t>
      </w:r>
      <w:r>
        <w:rPr>
          <w:spacing w:val="-2"/>
        </w:rPr>
        <w:t> </w:t>
      </w:r>
      <w:r>
        <w:rPr/>
        <w:t>afectada.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700" w:right="1221" w:firstLine="360"/>
        <w:jc w:val="both"/>
      </w:pPr>
      <w:r>
        <w:rPr/>
        <w:t>Las obligaciones reconocidas en capítulo 4 de subvenciones corrientes continúan en su tendencia de aumento</w:t>
      </w:r>
      <w:r>
        <w:rPr>
          <w:spacing w:val="-47"/>
        </w:rPr>
        <w:t> </w:t>
      </w:r>
      <w:r>
        <w:rPr/>
        <w:t>desde años anteriores llegando a los 2,3 millones de euros siendo unos 300.000 euros más que el ejercicio pasado.</w:t>
      </w:r>
      <w:r>
        <w:rPr>
          <w:spacing w:val="-47"/>
        </w:rPr>
        <w:t> </w:t>
      </w:r>
      <w:r>
        <w:rPr/>
        <w:t>Ello debido</w:t>
      </w:r>
      <w:r>
        <w:rPr>
          <w:spacing w:val="-1"/>
        </w:rPr>
        <w:t> </w:t>
      </w:r>
      <w:r>
        <w:rPr/>
        <w:t>al gran</w:t>
      </w:r>
      <w:r>
        <w:rPr>
          <w:spacing w:val="1"/>
        </w:rPr>
        <w:t> </w:t>
      </w:r>
      <w:r>
        <w:rPr/>
        <w:t>aumento de subvenciones</w:t>
      </w:r>
      <w:r>
        <w:rPr>
          <w:spacing w:val="-1"/>
        </w:rPr>
        <w:t> </w:t>
      </w:r>
      <w:r>
        <w:rPr/>
        <w:t>a asociaciones.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700" w:right="1044" w:firstLine="360"/>
        <w:jc w:val="both"/>
      </w:pPr>
      <w:r>
        <w:rPr/>
        <w:t>4.-En lo que se refiere a los ingresos sí se observa un aumento generalizado de recaudación efectiva de en torno</w:t>
      </w:r>
      <w:r>
        <w:rPr>
          <w:spacing w:val="-47"/>
        </w:rPr>
        <w:t> </w:t>
      </w:r>
      <w:r>
        <w:rPr/>
        <w:t>a 300.000 euros en capítulo 1, 200.000 euros en el capítulo 2 que se refiere a los conceptos de REF e ICIO, 400.000</w:t>
      </w:r>
      <w:r>
        <w:rPr>
          <w:spacing w:val="-47"/>
        </w:rPr>
        <w:t> </w:t>
      </w:r>
      <w:r>
        <w:rPr/>
        <w:t>euros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capítulo 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sobre</w:t>
      </w:r>
      <w:r>
        <w:rPr>
          <w:spacing w:val="-5"/>
        </w:rPr>
        <w:t> </w:t>
      </w:r>
      <w:r>
        <w:rPr/>
        <w:t>medio millón en cuanto al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corrientes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transferencias.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700" w:right="1034" w:firstLine="359"/>
        <w:jc w:val="both"/>
      </w:pPr>
      <w:r>
        <w:rPr/>
        <w:t>En lo relativo al capítulo 2 se observa un aumento de los ingresos procedentes del REF de casi 300.000 euros y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lado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ICIO</w:t>
      </w:r>
      <w:r>
        <w:rPr>
          <w:spacing w:val="-2"/>
        </w:rPr>
        <w:t> </w:t>
      </w:r>
      <w:r>
        <w:rPr/>
        <w:t>restaurado</w:t>
      </w:r>
      <w:r>
        <w:rPr>
          <w:spacing w:val="-1"/>
        </w:rPr>
        <w:t> </w:t>
      </w:r>
      <w:r>
        <w:rPr/>
        <w:t>alcanzando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300.000</w:t>
      </w:r>
      <w:r>
        <w:rPr>
          <w:spacing w:val="-1"/>
        </w:rPr>
        <w:t> </w:t>
      </w:r>
      <w:r>
        <w:rPr/>
        <w:t>euros.</w:t>
      </w:r>
    </w:p>
    <w:p>
      <w:pPr>
        <w:spacing w:after="0"/>
        <w:jc w:val="both"/>
        <w:sectPr>
          <w:pgSz w:w="11900" w:h="16840"/>
          <w:pgMar w:header="698" w:footer="0" w:top="1920" w:bottom="280" w:left="200" w:right="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99" w:right="1083" w:firstLine="360"/>
      </w:pPr>
      <w:r>
        <w:rPr/>
        <w:pict>
          <v:line style="position:absolute;mso-position-horizontal-relative:page;mso-position-vertical-relative:paragraph;z-index:15738368" from="24.35pt,222.815693pt" to="24.35pt,65.405693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-45.359646pt;width:23.8pt;height:582.2pt;mso-position-horizontal-relative:page;mso-position-vertical-relative:paragraph;z-index:-16031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14621132616426130706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Indicar que la corporación cuenta a la fecha del cierre con una tesorería de 19,4 millones de los cuales 4,2</w:t>
      </w:r>
      <w:r>
        <w:rPr>
          <w:spacing w:val="1"/>
        </w:rPr>
        <w:t> </w:t>
      </w:r>
      <w:r>
        <w:rPr/>
        <w:t>corresponden a subvenciones recibidas y aún no gastadas así como a PMS con lo que el remanente real de caja</w:t>
      </w:r>
      <w:r>
        <w:rPr>
          <w:spacing w:val="1"/>
        </w:rPr>
        <w:t> </w:t>
      </w:r>
      <w:r>
        <w:rPr/>
        <w:t>ascendería a unos 15,2 millones. Hay remanentes de crédito para inversión al cierre de 2022 dotados con</w:t>
      </w:r>
      <w:r>
        <w:rPr>
          <w:spacing w:val="1"/>
        </w:rPr>
        <w:t> </w:t>
      </w:r>
      <w:r>
        <w:rPr/>
        <w:t>financiación de remanente de tesorería para gastos generales que en su parte autorizada y comprometida habrán de</w:t>
      </w:r>
      <w:r>
        <w:rPr>
          <w:spacing w:val="1"/>
        </w:rPr>
        <w:t> </w:t>
      </w:r>
      <w:r>
        <w:rPr/>
        <w:t>ser incorporados al existir margen en el remanente de tesorería. Resultante de todo ello se deduce una cifra final</w:t>
      </w:r>
      <w:r>
        <w:rPr>
          <w:spacing w:val="1"/>
        </w:rPr>
        <w:t> </w:t>
      </w:r>
      <w:r>
        <w:rPr/>
        <w:t>real de remanente que mejora la del 2021 en unos dos millones y que no debe sobrepasarse a la baja en exceso con</w:t>
      </w:r>
      <w:r>
        <w:rPr>
          <w:spacing w:val="1"/>
        </w:rPr>
        <w:t> </w:t>
      </w:r>
      <w:r>
        <w:rPr/>
        <w:t>financiación de gastos a su cargo para tener la corporación margen de tesorería y solvencia suficiente para afrontar</w:t>
      </w:r>
      <w:r>
        <w:rPr>
          <w:spacing w:val="1"/>
        </w:rPr>
        <w:t> </w:t>
      </w:r>
      <w:r>
        <w:rPr/>
        <w:t>pagos así como para poder hacer frente a futuras posibles situaciones en que los ingresos se pudieran ver reducidos.</w:t>
      </w:r>
      <w:r>
        <w:rPr>
          <w:spacing w:val="-47"/>
        </w:rPr>
        <w:t> </w:t>
      </w:r>
      <w:r>
        <w:rPr/>
        <w:t>Es por ello que se entiende que se debe trabajar en el sentido de contención de gasto y de incrementar ingresos en</w:t>
      </w:r>
      <w:r>
        <w:rPr>
          <w:spacing w:val="1"/>
        </w:rPr>
        <w:t> </w:t>
      </w:r>
      <w:r>
        <w:rPr/>
        <w:t>este y sucesivos años. Requiere ello una continuación en la mejora de los procedimientos recaudatorios y</w:t>
      </w:r>
      <w:r>
        <w:rPr>
          <w:spacing w:val="1"/>
        </w:rPr>
        <w:t> </w:t>
      </w:r>
      <w:r>
        <w:rPr/>
        <w:t>depuraciones</w:t>
      </w:r>
      <w:r>
        <w:rPr>
          <w:spacing w:val="-2"/>
        </w:rPr>
        <w:t> </w:t>
      </w:r>
      <w:r>
        <w:rPr/>
        <w:t>de saldos</w:t>
      </w:r>
      <w:r>
        <w:rPr>
          <w:spacing w:val="-1"/>
        </w:rPr>
        <w:t> </w:t>
      </w:r>
      <w:r>
        <w:rPr/>
        <w:t>de cobro.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699" w:right="1222" w:firstLine="360"/>
      </w:pPr>
      <w:r>
        <w:rPr/>
        <w:t>Cabe especial mención a los derechos reconocidos por</w:t>
      </w:r>
      <w:r>
        <w:rPr>
          <w:spacing w:val="1"/>
        </w:rPr>
        <w:t> </w:t>
      </w:r>
      <w:r>
        <w:rPr/>
        <w:t>ingresos patrimoniales del capítulo quinto pues faltan</w:t>
      </w:r>
      <w:r>
        <w:rPr>
          <w:spacing w:val="-47"/>
        </w:rPr>
        <w:t> </w:t>
      </w:r>
      <w:r>
        <w:rPr/>
        <w:t>numerosos bienes municipales por ser licitados en su explotación y que podrían suponer para la corporación</w:t>
      </w:r>
      <w:r>
        <w:rPr>
          <w:spacing w:val="1"/>
        </w:rPr>
        <w:t> </w:t>
      </w:r>
      <w:r>
        <w:rPr/>
        <w:t>cuantiosos</w:t>
      </w:r>
      <w:r>
        <w:rPr>
          <w:spacing w:val="-2"/>
        </w:rPr>
        <w:t> </w:t>
      </w:r>
      <w:r>
        <w:rPr/>
        <w:t>ingresos.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3947"/>
        <w:jc w:val="right"/>
      </w:pPr>
      <w:r>
        <w:rPr/>
        <w:t>5º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Presidencia.</w:t>
      </w:r>
    </w:p>
    <w:p>
      <w:pPr>
        <w:pStyle w:val="BodyText"/>
      </w:pPr>
    </w:p>
    <w:p>
      <w:pPr>
        <w:pStyle w:val="BodyText"/>
        <w:spacing w:before="1"/>
        <w:ind w:left="699" w:right="734" w:firstLine="700"/>
      </w:pPr>
      <w:r>
        <w:rPr/>
        <w:t>6º De la presente resolución se dará cuenta al Pleno de la Corporación en la primera sesión que se celebre, para</w:t>
      </w:r>
      <w:r>
        <w:rPr>
          <w:spacing w:val="-47"/>
        </w:rPr>
        <w:t> </w:t>
      </w:r>
      <w:r>
        <w:rPr/>
        <w:t>su conocimiento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99" w:right="1783" w:firstLine="700"/>
      </w:pPr>
      <w:r>
        <w:rPr/>
        <w:t>7º Se remitirá copia del expediente a los órganos competentes de la Comunidad Autónoma y de la</w:t>
      </w:r>
      <w:r>
        <w:rPr>
          <w:spacing w:val="-47"/>
        </w:rPr>
        <w:t> </w:t>
      </w:r>
      <w:r>
        <w:rPr/>
        <w:t>Administración del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694" w:right="1031"/>
        <w:jc w:val="center"/>
      </w:pPr>
      <w:r>
        <w:rPr/>
        <w:t>EL</w:t>
      </w:r>
      <w:r>
        <w:rPr>
          <w:spacing w:val="-3"/>
        </w:rPr>
        <w:t> </w:t>
      </w:r>
      <w:r>
        <w:rPr/>
        <w:t>INTERVENTOR</w:t>
      </w:r>
    </w:p>
    <w:p>
      <w:pPr>
        <w:pStyle w:val="BodyText"/>
        <w:spacing w:before="120"/>
        <w:ind w:right="3873"/>
        <w:jc w:val="right"/>
      </w:pPr>
      <w:r>
        <w:rPr/>
        <w:t>Fdo.:</w:t>
      </w:r>
      <w:r>
        <w:rPr>
          <w:spacing w:val="-3"/>
        </w:rPr>
        <w:t> </w:t>
      </w:r>
      <w:r>
        <w:rPr/>
        <w:t>Miguel</w:t>
      </w:r>
      <w:r>
        <w:rPr>
          <w:spacing w:val="-2"/>
        </w:rPr>
        <w:t> </w:t>
      </w:r>
      <w:r>
        <w:rPr/>
        <w:t>Ángel</w:t>
      </w:r>
      <w:r>
        <w:rPr>
          <w:spacing w:val="-2"/>
        </w:rPr>
        <w:t> </w:t>
      </w:r>
      <w:r>
        <w:rPr/>
        <w:t>Guerra</w:t>
      </w:r>
      <w:r>
        <w:rPr>
          <w:spacing w:val="-3"/>
        </w:rPr>
        <w:t> </w:t>
      </w:r>
      <w:r>
        <w:rPr/>
        <w:t>Naverán</w:t>
      </w:r>
    </w:p>
    <w:sectPr>
      <w:pgSz w:w="11900" w:h="16840"/>
      <w:pgMar w:header="698" w:footer="0" w:top="1920" w:bottom="280" w:left="2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75008">
          <wp:simplePos x="0" y="0"/>
          <wp:positionH relativeFrom="page">
            <wp:posOffset>1106424</wp:posOffset>
          </wp:positionH>
          <wp:positionV relativeFrom="page">
            <wp:posOffset>443478</wp:posOffset>
          </wp:positionV>
          <wp:extent cx="507491" cy="7863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1" cy="786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"/>
      <w:lvlJc w:val="left"/>
      <w:pPr>
        <w:ind w:left="1768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6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0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9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00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94" w:right="1026" w:hanging="2124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sede.ayuntamientodetias.es/validacio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ede.ayuntamientodetias.es/valida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Informe de Intervención liquidacion 2022</dc:title>
  <dcterms:created xsi:type="dcterms:W3CDTF">2023-08-23T09:10:13Z</dcterms:created>
  <dcterms:modified xsi:type="dcterms:W3CDTF">2023-08-23T09:10:13Z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2023-08-23T00:00:00Z</vt:filetime>
  </property>
</Properties>
</file>