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2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GASTOS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1520" w:right="570"/>
      </w:pPr>
      <w:r>
        <w:rPr/>
        <w:t>EJECUCIÓN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PRESUPUESTO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GASTOS:</w:t>
      </w:r>
      <w:r>
        <w:rPr>
          <w:spacing w:val="18"/>
        </w:rPr>
        <w:t> </w:t>
      </w:r>
      <w:r>
        <w:rPr/>
        <w:t>Refleja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proporción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8"/>
        </w:rPr>
        <w:t> </w:t>
      </w:r>
      <w:r>
        <w:rPr/>
        <w:t>créditos</w:t>
      </w:r>
      <w:r>
        <w:rPr>
          <w:spacing w:val="18"/>
        </w:rPr>
        <w:t> </w:t>
      </w:r>
      <w:r>
        <w:rPr/>
        <w:t>aprobados</w:t>
      </w:r>
      <w:r>
        <w:rPr>
          <w:spacing w:val="-52"/>
        </w:rPr>
        <w:t> </w:t>
      </w:r>
      <w:r>
        <w:rPr/>
        <w:t>en</w:t>
      </w:r>
      <w:r>
        <w:rPr>
          <w:spacing w:val="-1"/>
        </w:rPr>
        <w:t> </w:t>
      </w:r>
      <w:r>
        <w:rPr/>
        <w:t>el ejercicio que han dado lugar a reconocimiento de obligaciones</w:t>
      </w:r>
      <w:r>
        <w:rPr>
          <w:spacing w:val="-1"/>
        </w:rPr>
        <w:t> </w:t>
      </w:r>
      <w:r>
        <w:rPr/>
        <w:t>presupuestarias</w:t>
      </w:r>
    </w:p>
    <w:p>
      <w:pPr>
        <w:pStyle w:val="BodyText"/>
        <w:spacing w:before="193"/>
        <w:ind w:left="1520"/>
      </w:pPr>
      <w:r>
        <w:rPr/>
        <w:t>FÓRMULA:</w:t>
      </w:r>
      <w:r>
        <w:rPr>
          <w:spacing w:val="-4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reconocidas</w:t>
      </w:r>
      <w:r>
        <w:rPr>
          <w:spacing w:val="-4"/>
        </w:rPr>
        <w:t> </w:t>
      </w:r>
      <w:r>
        <w:rPr/>
        <w:t>netas/Créditos</w:t>
      </w:r>
      <w:r>
        <w:rPr>
          <w:spacing w:val="-3"/>
        </w:rPr>
        <w:t> </w:t>
      </w:r>
      <w:r>
        <w:rPr/>
        <w:t>definitivos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000"/>
        <w:gridCol w:w="2000"/>
        <w:gridCol w:w="2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44" w:right="0"/>
              <w:jc w:val="left"/>
              <w:rPr>
                <w:sz w:val="20"/>
              </w:rPr>
            </w:pPr>
            <w:r>
              <w:rPr>
                <w:sz w:val="20"/>
              </w:rPr>
              <w:t>Créditos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definitivos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50" w:right="0"/>
              <w:jc w:val="left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Netas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607" w:right="0"/>
              <w:jc w:val="left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PERSONAL.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11.431.625,77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10.713.900,21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93,72 %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2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-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GASTOS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CORRIENTES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EN</w:t>
            </w:r>
            <w:r>
              <w:rPr>
                <w:sz w:val="20"/>
              </w:rPr>
              <w:t> BIENES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Y SERVICIOS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16.895.621,37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16.302.532,49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96,49 %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FINANCIEROS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26.550,94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75,86 %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4 -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TRANSFERENCIAS CORRIENTES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2.449.075,05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2.346.215,94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95,80 %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6 - INVERSIONES REALES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4.812.475,27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2.315.108,78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48,11 %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ACTIVOS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FINANCIEROS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130.000,00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</w:tr>
      <w:tr>
        <w:trPr>
          <w:trHeight w:val="11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35.753.797,46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31.704.308,36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88,67 %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2023-08-18T09:30:43Z</dcterms:created>
  <dcterms:modified xsi:type="dcterms:W3CDTF">2023-08-18T09:30:43Z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2023-08-18T00:00:00Z</vt:filetime>
  </property>
</Properties>
</file>