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4"/>
        </w:rPr>
        <w:t> </w:t>
      </w:r>
      <w:r>
        <w:rPr/>
        <w:t>COBERTURA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CORRIENTES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</w:pPr>
      <w:r>
        <w:rPr/>
        <w:t>Cobertura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2"/>
        </w:rPr>
        <w:t> </w:t>
      </w:r>
      <w:r>
        <w:rPr/>
        <w:t>corrientes: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manifiesto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existente</w:t>
      </w:r>
      <w:r>
        <w:rPr>
          <w:spacing w:val="1"/>
        </w:rPr>
        <w:t> </w:t>
      </w:r>
      <w:r>
        <w:rPr/>
        <w:t>entre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gestión</w:t>
      </w:r>
      <w:r>
        <w:rPr>
          <w:spacing w:val="-52"/>
        </w:rPr>
        <w:t> </w:t>
      </w:r>
      <w:r>
        <w:rPr/>
        <w:t>ordinaria y los ingresos de la misma naturaleza</w:t>
      </w:r>
    </w:p>
    <w:p>
      <w:pPr>
        <w:pStyle w:val="BodyText"/>
        <w:spacing w:before="193"/>
        <w:ind w:left="520"/>
      </w:pPr>
      <w:r>
        <w:rPr/>
        <w:t>FÓRMULA: Gastos de gestión ordinaria / Ingresos de gestión ordinaria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81"/>
              <w:rPr>
                <w:sz w:val="20"/>
              </w:rPr>
            </w:pPr>
            <w:r>
              <w:rPr>
                <w:sz w:val="20"/>
              </w:rPr>
              <w:t>Gastos Gestión Ordinaria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Ingresos Gestion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601" w:right="1646"/>
              <w:jc w:val="center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29.290.148,64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30.229.708,46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344" w:right="1819"/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355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2023-08-21T07:32:00Z</dcterms:created>
  <dcterms:modified xsi:type="dcterms:W3CDTF">2023-08-21T07:32:00Z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