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644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ALC/2022/1466</w:t>
        <w:tab/>
        <w:t>de fecha 15/12/2022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6" w:lineRule="auto" w:before="0" w:after="0"/>
        <w:ind w:left="118" w:right="676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</w:t>
      </w:r>
      <w:r>
        <w:rPr>
          <w:spacing w:val="-57"/>
          <w:sz w:val="24"/>
        </w:rPr>
        <w:t> </w:t>
      </w:r>
      <w:r>
        <w:rPr>
          <w:b/>
          <w:sz w:val="24"/>
        </w:rPr>
        <w:t>Salón de Plenos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Casa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Consistorial,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día 20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diciembre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18:00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horas,</w:t>
      </w:r>
      <w:r>
        <w:rPr>
          <w:b/>
          <w:spacing w:val="-2"/>
          <w:sz w:val="24"/>
        </w:rPr>
        <w:t> </w:t>
      </w:r>
      <w:r>
        <w:rPr>
          <w:sz w:val="24"/>
        </w:rPr>
        <w:t>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904" w:right="677" w:hanging="360"/>
        <w:jc w:val="both"/>
        <w:rPr>
          <w:sz w:val="24"/>
        </w:rPr>
      </w:pPr>
      <w:r>
        <w:rPr>
          <w:sz w:val="24"/>
        </w:rPr>
        <w:t>Aprobación de las actas de las sesiones anteriores:</w:t>
      </w:r>
      <w:r>
        <w:rPr>
          <w:spacing w:val="1"/>
          <w:sz w:val="24"/>
        </w:rPr>
        <w:t> </w:t>
      </w:r>
      <w:r>
        <w:rPr>
          <w:sz w:val="24"/>
        </w:rPr>
        <w:t>Acta Pleno de fecha 15-11-2022,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09/2022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2022/00007452X.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reguladora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ICIO-</w:t>
      </w:r>
      <w:r>
        <w:rPr>
          <w:spacing w:val="1"/>
          <w:sz w:val="24"/>
        </w:rPr>
        <w:t> </w:t>
      </w:r>
      <w:r>
        <w:rPr>
          <w:sz w:val="24"/>
        </w:rPr>
        <w:t>bonificación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instalar</w:t>
      </w:r>
      <w:r>
        <w:rPr>
          <w:spacing w:val="1"/>
          <w:sz w:val="24"/>
        </w:rPr>
        <w:t> </w:t>
      </w:r>
      <w:r>
        <w:rPr>
          <w:sz w:val="24"/>
        </w:rPr>
        <w:t>puntos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recarga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vehículos</w:t>
      </w:r>
      <w:r>
        <w:rPr>
          <w:spacing w:val="1"/>
          <w:sz w:val="24"/>
        </w:rPr>
        <w:t> </w:t>
      </w:r>
      <w:r>
        <w:rPr>
          <w:sz w:val="24"/>
        </w:rPr>
        <w:t>eléctricos.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2022/00007455J.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6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reguladora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IBI-</w:t>
      </w:r>
      <w:r>
        <w:rPr>
          <w:spacing w:val="1"/>
          <w:sz w:val="24"/>
        </w:rPr>
        <w:t> </w:t>
      </w:r>
      <w:r>
        <w:rPr>
          <w:sz w:val="24"/>
        </w:rPr>
        <w:t>bonificación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instalar</w:t>
      </w:r>
      <w:r>
        <w:rPr>
          <w:spacing w:val="1"/>
          <w:sz w:val="24"/>
        </w:rPr>
        <w:t> </w:t>
      </w:r>
      <w:r>
        <w:rPr>
          <w:sz w:val="24"/>
        </w:rPr>
        <w:t>puntos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recarga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vehículos</w:t>
      </w:r>
      <w:r>
        <w:rPr>
          <w:spacing w:val="1"/>
          <w:sz w:val="24"/>
        </w:rPr>
        <w:t> </w:t>
      </w:r>
      <w:r>
        <w:rPr>
          <w:sz w:val="24"/>
        </w:rPr>
        <w:t>eléctricos.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2022/00007456Z.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reguladora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IAE-</w:t>
      </w:r>
      <w:r>
        <w:rPr>
          <w:spacing w:val="1"/>
          <w:sz w:val="24"/>
        </w:rPr>
        <w:t> </w:t>
      </w:r>
      <w:r>
        <w:rPr>
          <w:sz w:val="24"/>
        </w:rPr>
        <w:t>bonificación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instalar</w:t>
      </w:r>
      <w:r>
        <w:rPr>
          <w:spacing w:val="1"/>
          <w:sz w:val="24"/>
        </w:rPr>
        <w:t> </w:t>
      </w:r>
      <w:r>
        <w:rPr>
          <w:sz w:val="24"/>
        </w:rPr>
        <w:t>puntos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recarga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vehículos</w:t>
      </w:r>
      <w:r>
        <w:rPr>
          <w:spacing w:val="1"/>
          <w:sz w:val="24"/>
        </w:rPr>
        <w:t> </w:t>
      </w:r>
      <w:r>
        <w:rPr>
          <w:sz w:val="24"/>
        </w:rPr>
        <w:t>eléctricos.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7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2022/00007434S.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23/2022</w:t>
      </w:r>
      <w:r>
        <w:rPr>
          <w:spacing w:val="1"/>
          <w:sz w:val="24"/>
        </w:rPr>
        <w:t> </w:t>
      </w:r>
      <w:r>
        <w:rPr>
          <w:sz w:val="24"/>
        </w:rPr>
        <w:t>suplemento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crédito</w:t>
      </w:r>
      <w:r>
        <w:rPr>
          <w:spacing w:val="-1"/>
          <w:sz w:val="24"/>
        </w:rPr>
        <w:t> </w:t>
      </w:r>
      <w:r>
        <w:rPr>
          <w:sz w:val="24"/>
        </w:rPr>
        <w:t>partida 231 Acción Social.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2022/00009425M.</w:t>
      </w:r>
      <w:r>
        <w:rPr>
          <w:spacing w:val="1"/>
          <w:sz w:val="24"/>
        </w:rPr>
        <w:t> </w:t>
      </w:r>
      <w:r>
        <w:rPr>
          <w:sz w:val="24"/>
        </w:rPr>
        <w:t>Facturas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periódicas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reparo</w:t>
      </w:r>
      <w:r>
        <w:rPr>
          <w:spacing w:val="1"/>
          <w:sz w:val="24"/>
        </w:rPr>
        <w:t> </w:t>
      </w:r>
      <w:r>
        <w:rPr>
          <w:sz w:val="24"/>
        </w:rPr>
        <w:t>Intervención-Pleno.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05952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14160025572712366720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281" w:top="1960" w:bottom="48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904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2022/00010635V.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ordinario del mes de noviembre para la actualización del estudio de viabilidad del</w:t>
      </w:r>
      <w:r>
        <w:rPr>
          <w:spacing w:val="1"/>
          <w:sz w:val="24"/>
        </w:rPr>
        <w:t> </w:t>
      </w:r>
      <w:r>
        <w:rPr>
          <w:sz w:val="24"/>
        </w:rPr>
        <w:t>contrato de servicios para la gestión del centro municipal de ocio y deportes de Tías,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 inflación que se</w:t>
      </w:r>
      <w:r>
        <w:rPr>
          <w:spacing w:val="-1"/>
          <w:sz w:val="24"/>
        </w:rPr>
        <w:t> </w:t>
      </w:r>
      <w:r>
        <w:rPr>
          <w:sz w:val="24"/>
        </w:rPr>
        <w:t>registra en España.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4" w:hanging="360"/>
        <w:jc w:val="both"/>
        <w:rPr>
          <w:sz w:val="24"/>
        </w:rPr>
      </w:pPr>
      <w:r>
        <w:rPr>
          <w:sz w:val="24"/>
        </w:rPr>
        <w:t>Número de expediente: 2022/00011754D. Moción que presenta el partido socialista,</w:t>
      </w:r>
      <w:r>
        <w:rPr>
          <w:spacing w:val="1"/>
          <w:sz w:val="24"/>
        </w:rPr>
        <w:t> </w:t>
      </w:r>
      <w:r>
        <w:rPr>
          <w:sz w:val="24"/>
        </w:rPr>
        <w:t>Lanzarote</w:t>
      </w:r>
      <w:r>
        <w:rPr>
          <w:spacing w:val="56"/>
          <w:sz w:val="24"/>
        </w:rPr>
        <w:t> </w:t>
      </w:r>
      <w:r>
        <w:rPr>
          <w:sz w:val="24"/>
        </w:rPr>
        <w:t>Avanza</w:t>
      </w:r>
      <w:r>
        <w:rPr>
          <w:spacing w:val="56"/>
          <w:sz w:val="24"/>
        </w:rPr>
        <w:t> </w:t>
      </w:r>
      <w:r>
        <w:rPr>
          <w:sz w:val="24"/>
        </w:rPr>
        <w:t>Lava,</w:t>
      </w:r>
      <w:r>
        <w:rPr>
          <w:spacing w:val="56"/>
          <w:sz w:val="24"/>
        </w:rPr>
        <w:t> </w:t>
      </w:r>
      <w:r>
        <w:rPr>
          <w:sz w:val="24"/>
        </w:rPr>
        <w:t>Lanzarote</w:t>
      </w:r>
      <w:r>
        <w:rPr>
          <w:spacing w:val="57"/>
          <w:sz w:val="24"/>
        </w:rPr>
        <w:t> </w:t>
      </w:r>
      <w:r>
        <w:rPr>
          <w:sz w:val="24"/>
        </w:rPr>
        <w:t>en</w:t>
      </w:r>
      <w:r>
        <w:rPr>
          <w:spacing w:val="56"/>
          <w:sz w:val="24"/>
        </w:rPr>
        <w:t> </w:t>
      </w:r>
      <w:r>
        <w:rPr>
          <w:sz w:val="24"/>
        </w:rPr>
        <w:t>Pie</w:t>
      </w:r>
      <w:r>
        <w:rPr>
          <w:spacing w:val="56"/>
          <w:sz w:val="24"/>
        </w:rPr>
        <w:t> </w:t>
      </w:r>
      <w:r>
        <w:rPr>
          <w:sz w:val="24"/>
        </w:rPr>
        <w:t>Si</w:t>
      </w:r>
      <w:r>
        <w:rPr>
          <w:spacing w:val="57"/>
          <w:sz w:val="24"/>
        </w:rPr>
        <w:t> </w:t>
      </w:r>
      <w:r>
        <w:rPr>
          <w:sz w:val="24"/>
        </w:rPr>
        <w:t>Podemos,</w:t>
      </w:r>
      <w:r>
        <w:rPr>
          <w:spacing w:val="56"/>
          <w:sz w:val="24"/>
        </w:rPr>
        <w:t> </w:t>
      </w:r>
      <w:r>
        <w:rPr>
          <w:sz w:val="24"/>
        </w:rPr>
        <w:t>trasladar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la</w:t>
      </w:r>
      <w:r>
        <w:rPr>
          <w:spacing w:val="56"/>
          <w:sz w:val="24"/>
        </w:rPr>
        <w:t> </w:t>
      </w:r>
      <w:r>
        <w:rPr>
          <w:sz w:val="24"/>
        </w:rPr>
        <w:t>federación</w:t>
      </w:r>
      <w:r>
        <w:rPr>
          <w:spacing w:val="-58"/>
          <w:sz w:val="24"/>
        </w:rPr>
        <w:t> </w:t>
      </w:r>
      <w:r>
        <w:rPr>
          <w:sz w:val="24"/>
        </w:rPr>
        <w:t>canaria de municipios (Fecam) destinada a la modificación de la vigencia del nuevo</w:t>
      </w:r>
      <w:r>
        <w:rPr>
          <w:spacing w:val="1"/>
          <w:sz w:val="24"/>
        </w:rPr>
        <w:t> </w:t>
      </w:r>
      <w:r>
        <w:rPr>
          <w:sz w:val="24"/>
        </w:rPr>
        <w:t>impuesto estatal sobre el depósito de residuos en vertederos, la incineración y la</w:t>
      </w:r>
      <w:r>
        <w:rPr>
          <w:spacing w:val="1"/>
          <w:sz w:val="24"/>
        </w:rPr>
        <w:t> </w:t>
      </w:r>
      <w:r>
        <w:rPr>
          <w:sz w:val="24"/>
        </w:rPr>
        <w:t>coincineración</w:t>
      </w:r>
      <w:r>
        <w:rPr>
          <w:spacing w:val="-1"/>
          <w:sz w:val="24"/>
        </w:rPr>
        <w:t> </w:t>
      </w:r>
      <w:r>
        <w:rPr>
          <w:sz w:val="24"/>
        </w:rPr>
        <w:t>de residuos.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904" w:right="674" w:hanging="360"/>
        <w:jc w:val="both"/>
        <w:rPr>
          <w:sz w:val="24"/>
        </w:rPr>
      </w:pPr>
      <w:r>
        <w:rPr>
          <w:sz w:val="24"/>
        </w:rPr>
        <w:t>Número de expediente: 2022/00011758J. Moción que presenta el partido socialista,</w:t>
      </w:r>
      <w:r>
        <w:rPr>
          <w:spacing w:val="1"/>
          <w:sz w:val="24"/>
        </w:rPr>
        <w:t> </w:t>
      </w:r>
      <w:r>
        <w:rPr>
          <w:sz w:val="24"/>
        </w:rPr>
        <w:t>Lanzarote avanza Lava, Lanzarote en pie si podemos, instar el apoyo a la corporación</w:t>
      </w:r>
      <w:r>
        <w:rPr>
          <w:spacing w:val="1"/>
          <w:sz w:val="24"/>
        </w:rPr>
        <w:t> </w:t>
      </w:r>
      <w:r>
        <w:rPr>
          <w:sz w:val="24"/>
        </w:rPr>
        <w:t>municipal para la declaración del plan turístico nacional 2023 "Turismo de sol y</w:t>
      </w:r>
      <w:r>
        <w:rPr>
          <w:spacing w:val="1"/>
          <w:sz w:val="24"/>
        </w:rPr>
        <w:t> </w:t>
      </w:r>
      <w:r>
        <w:rPr>
          <w:sz w:val="24"/>
        </w:rPr>
        <w:t>Playa".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4" w:right="676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</w:t>
      </w:r>
      <w:r>
        <w:rPr>
          <w:spacing w:val="1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15 de noviembre de 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4" w:right="0" w:hanging="360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urgencia.</w:t>
      </w:r>
    </w:p>
    <w:p>
      <w:pPr>
        <w:pStyle w:val="BodyText"/>
      </w:pPr>
    </w:p>
    <w:p>
      <w:pPr>
        <w:pStyle w:val="Heading1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4" w:right="0" w:hanging="36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219" w:after="0"/>
        <w:ind w:left="118" w:right="675" w:firstLine="0"/>
        <w:jc w:val="both"/>
        <w:rPr>
          <w:rFonts w:ascii="Arial MT" w:hAnsi="Arial MT"/>
          <w:sz w:val="22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spacing w:before="11"/>
        <w:rPr>
          <w:rFonts w:ascii="Arial MT"/>
          <w:sz w:val="21"/>
        </w:rPr>
      </w:pPr>
    </w:p>
    <w:p>
      <w:pPr>
        <w:pStyle w:val="BodyText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</w:pPr>
    </w:p>
    <w:p>
      <w:pPr>
        <w:pStyle w:val="BodyText"/>
        <w:ind w:left="118"/>
        <w:jc w:val="both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281" w:top="1960" w:bottom="480" w:left="1300" w:right="740"/>
        </w:sectPr>
      </w:pPr>
    </w:p>
    <w:p>
      <w:pPr>
        <w:pStyle w:val="BodyText"/>
        <w:spacing w:before="3"/>
        <w:rPr>
          <w:rFonts w:ascii="Arial MT"/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15/12/2022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10:47:04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3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spacing w:line="216" w:lineRule="auto" w:before="0"/>
        <w:ind w:left="308" w:right="4094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04/2022</w:t>
      </w:r>
      <w:r>
        <w:rPr>
          <w:rFonts w:ascii="Arial MT"/>
          <w:spacing w:val="-30"/>
          <w:sz w:val="12"/>
        </w:rPr>
        <w:t> </w:t>
      </w: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05/2022</w:t>
      </w:r>
    </w:p>
    <w:p>
      <w:pPr>
        <w:spacing w:line="216" w:lineRule="auto" w:before="0"/>
        <w:ind w:left="308" w:right="1337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pacing w:val="-1"/>
          <w:w w:val="105"/>
          <w:sz w:val="12"/>
        </w:rPr>
        <w:t>Documento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firmado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electrónicamente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</w:t>
      </w:r>
      <w:r>
        <w:rPr>
          <w:rFonts w:ascii="Arial MT" w:hAnsi="Arial MT"/>
          <w:spacing w:val="-7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día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15/12/2022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las</w:t>
      </w:r>
      <w:r>
        <w:rPr>
          <w:rFonts w:ascii="Arial MT" w:hAnsi="Arial MT"/>
          <w:spacing w:val="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10:58:49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</w:p>
    <w:p>
      <w:pPr>
        <w:spacing w:line="119" w:lineRule="exact" w:before="0"/>
        <w:ind w:left="308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El</w:t>
      </w:r>
      <w:r>
        <w:rPr>
          <w:rFonts w:ascii="Arial MT"/>
          <w:spacing w:val="9"/>
          <w:sz w:val="12"/>
        </w:rPr>
        <w:t> </w:t>
      </w:r>
      <w:r>
        <w:rPr>
          <w:rFonts w:ascii="Arial MT"/>
          <w:sz w:val="12"/>
        </w:rPr>
        <w:t>Secretario</w:t>
      </w:r>
    </w:p>
    <w:p>
      <w:pPr>
        <w:spacing w:line="131" w:lineRule="exact" w:before="0"/>
        <w:ind w:left="308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Fdo.:FERNANDO</w:t>
      </w:r>
      <w:r>
        <w:rPr>
          <w:rFonts w:ascii="Arial MT"/>
          <w:spacing w:val="13"/>
          <w:sz w:val="12"/>
        </w:rPr>
        <w:t> </w:t>
      </w:r>
      <w:r>
        <w:rPr>
          <w:rFonts w:ascii="Arial MT"/>
          <w:sz w:val="12"/>
        </w:rPr>
        <w:t>PEREZ-UTRILLA</w:t>
      </w:r>
      <w:r>
        <w:rPr>
          <w:rFonts w:ascii="Arial MT"/>
          <w:spacing w:val="14"/>
          <w:sz w:val="12"/>
        </w:rPr>
        <w:t> </w:t>
      </w:r>
      <w:r>
        <w:rPr>
          <w:rFonts w:ascii="Arial MT"/>
          <w:sz w:val="12"/>
        </w:rPr>
        <w:t>PEREZ</w:t>
      </w:r>
    </w:p>
    <w:p>
      <w:pPr>
        <w:spacing w:after="0" w:line="131" w:lineRule="exact"/>
        <w:jc w:val="left"/>
        <w:rPr>
          <w:rFonts w:ascii="Arial MT"/>
          <w:sz w:val="12"/>
        </w:rPr>
        <w:sectPr>
          <w:type w:val="continuous"/>
          <w:pgSz w:w="11910" w:h="16840"/>
          <w:pgMar w:top="1960" w:bottom="48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9"/>
        </w:rPr>
      </w:pPr>
    </w:p>
    <w:p>
      <w:pPr>
        <w:spacing w:before="0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15729152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14160025572712366720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4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1580492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1305;top:15949;width:9863;height:148" coordorigin="1305,15949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0441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1580390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904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6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4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1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7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3" w:hanging="2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04" w:right="676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2023-08-28T11:23:14Z</dcterms:created>
  <dcterms:modified xsi:type="dcterms:W3CDTF">2023-08-28T11:23:14Z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