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6"/>
        </w:rPr>
        <w:t> </w:t>
      </w:r>
      <w:r>
        <w:rPr/>
        <w:t>INVERSIÓN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INVERSIÓN POR HABITANTE: Para las entidades territoriales y sus organismos autónomos, este</w:t>
      </w:r>
      <w:r>
        <w:rPr>
          <w:spacing w:val="1"/>
        </w:rPr>
        <w:t> </w:t>
      </w:r>
      <w:r>
        <w:rPr/>
        <w:t>índice distribuye la totalidad del gasto presupuestario por operaciones de capital realizado en el</w:t>
      </w:r>
      <w:r>
        <w:rPr>
          <w:spacing w:val="1"/>
        </w:rPr>
        <w:t> </w:t>
      </w:r>
      <w:r>
        <w:rPr/>
        <w:t>ejercicio entre el número de habitantes de la entidad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1"/>
        </w:rPr>
        <w:t> </w:t>
      </w:r>
      <w:r>
        <w:rPr/>
        <w:t>Obligaciones reconocidas netas (Capítulos 6 y</w:t>
      </w:r>
      <w:r>
        <w:rPr>
          <w:spacing w:val="-1"/>
        </w:rPr>
        <w:t> </w:t>
      </w:r>
      <w:r>
        <w:rPr/>
        <w:t>7) / Número de habitantes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299,35 €</w:t>
            </w:r>
          </w:p>
        </w:tc>
      </w:tr>
      <w:tr>
        <w:trPr>
          <w:trHeight w:val="26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299,35 €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2023-07-20T09:46:49Z</dcterms:created>
  <dcterms:modified xsi:type="dcterms:W3CDTF">2023-07-20T09:46:49Z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2023-07-20T00:00:00Z</vt:filetime>
  </property>
</Properties>
</file>