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95"/>
      </w:pPr>
      <w:r>
        <w:rPr/>
        <w:drawing>
          <wp:inline distT="0" distB="0" distL="0" distR="0">
            <wp:extent cx="478613" cy="740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13" cy="74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5"/>
        </w:rPr>
      </w:pPr>
    </w:p>
    <w:p>
      <w:pPr>
        <w:spacing w:before="69"/>
        <w:ind w:left="290" w:right="6977" w:firstLine="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w w:val="105"/>
          <w:sz w:val="18"/>
        </w:rPr>
        <w:t>AYUNTAMIENTO</w:t>
      </w:r>
      <w:r>
        <w:rPr>
          <w:rFonts w:ascii="Calibri" w:hAnsi="Calibri"/>
          <w:b/>
          <w:spacing w:val="-8"/>
          <w:w w:val="105"/>
          <w:sz w:val="18"/>
        </w:rPr>
        <w:t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7"/>
          <w:w w:val="105"/>
          <w:sz w:val="18"/>
        </w:rPr>
        <w:t> </w:t>
      </w:r>
      <w:r>
        <w:rPr>
          <w:rFonts w:ascii="Calibri" w:hAnsi="Calibri"/>
          <w:b/>
          <w:w w:val="105"/>
          <w:sz w:val="18"/>
        </w:rPr>
        <w:t>TÍAS</w:t>
      </w:r>
    </w:p>
    <w:p>
      <w:pPr>
        <w:pStyle w:val="BodyText"/>
        <w:spacing w:before="9"/>
        <w:rPr>
          <w:rFonts w:ascii="Calibri"/>
          <w:b/>
          <w:sz w:val="19"/>
        </w:rPr>
      </w:pPr>
    </w:p>
    <w:p>
      <w:pPr>
        <w:spacing w:before="0"/>
        <w:ind w:left="290" w:right="6972" w:firstLine="0"/>
        <w:jc w:val="center"/>
        <w:rPr>
          <w:rFonts w:ascii="Calibri"/>
          <w:sz w:val="18"/>
        </w:rPr>
      </w:pPr>
      <w:r>
        <w:rPr>
          <w:rFonts w:ascii="Calibri"/>
          <w:w w:val="105"/>
          <w:sz w:val="18"/>
        </w:rPr>
        <w:t>C/</w:t>
      </w:r>
      <w:r>
        <w:rPr>
          <w:rFonts w:ascii="Calibri"/>
          <w:spacing w:val="-5"/>
          <w:w w:val="105"/>
          <w:sz w:val="18"/>
        </w:rPr>
        <w:t> </w:t>
      </w:r>
      <w:r>
        <w:rPr>
          <w:rFonts w:ascii="Calibri"/>
          <w:w w:val="105"/>
          <w:sz w:val="18"/>
        </w:rPr>
        <w:t>Libertad,</w:t>
      </w:r>
      <w:r>
        <w:rPr>
          <w:rFonts w:ascii="Calibri"/>
          <w:spacing w:val="-3"/>
          <w:w w:val="105"/>
          <w:sz w:val="18"/>
        </w:rPr>
        <w:t> </w:t>
      </w:r>
      <w:r>
        <w:rPr>
          <w:rFonts w:ascii="Calibri"/>
          <w:w w:val="105"/>
          <w:sz w:val="18"/>
        </w:rPr>
        <w:t>50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top="660" w:bottom="280" w:left="1260" w:right="1720"/>
        </w:sectPr>
      </w:pPr>
    </w:p>
    <w:p>
      <w:pPr>
        <w:spacing w:before="69"/>
        <w:ind w:left="48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Teléfono</w:t>
      </w:r>
      <w:r>
        <w:rPr>
          <w:rFonts w:ascii="Calibri" w:hAnsi="Calibri"/>
          <w:spacing w:val="30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928833619</w:t>
      </w:r>
    </w:p>
    <w:p>
      <w:pPr>
        <w:pStyle w:val="BodyText"/>
        <w:rPr>
          <w:rFonts w:ascii="Calibri"/>
        </w:rPr>
      </w:pPr>
      <w:r>
        <w:rPr/>
        <w:br w:type="column"/>
      </w:r>
      <w:r>
        <w:rPr>
          <w:rFonts w:ascii="Calibri"/>
        </w:rPr>
      </w: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0"/>
        <w:ind w:left="480" w:right="0" w:firstLine="0"/>
        <w:jc w:val="left"/>
        <w:rPr>
          <w:sz w:val="18"/>
        </w:rPr>
      </w:pPr>
      <w:r>
        <w:rPr>
          <w:w w:val="105"/>
          <w:sz w:val="18"/>
          <w:u w:val="single"/>
        </w:rPr>
        <w:t>INFORME</w:t>
      </w:r>
      <w:r>
        <w:rPr>
          <w:spacing w:val="-5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9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INTERVENCIÓN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60" w:bottom="280" w:left="1260" w:right="1720"/>
          <w:cols w:num="2" w:equalWidth="0">
            <w:col w:w="2135" w:space="567"/>
            <w:col w:w="6558"/>
          </w:cols>
        </w:sect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ge;z-index:15728640" from="24.35pt,367.980007pt" to="24.35pt,210.570007pt" stroked="true" strokeweight=".53333pt" strokecolor="#0000ff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.597812pt;margin-top:99.804657pt;width:23.8pt;height:582.2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Ayuntamiento de Tías - Nº de registro del : - CSV: 13524663177332541761 Esta es una copia auténtica de documento original electrónico según la Ley 39/2015 de</w:t>
                  </w:r>
                </w:p>
                <w:p>
                  <w:pPr>
                    <w:spacing w:before="73"/>
                    <w:ind w:left="2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Procedimiento Administrativo Común Electrónico. Puede comprobar su autenticidad en: </w:t>
                  </w:r>
                  <w:hyperlink r:id="rId6">
                    <w:r>
                      <w:rPr>
                        <w:rFonts w:ascii="Arial MT" w:hAnsi="Arial MT"/>
                        <w:color w:val="0000FF"/>
                        <w:sz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type="none"/>
          </v:shape>
        </w:pict>
      </w:r>
    </w:p>
    <w:p>
      <w:pPr>
        <w:pStyle w:val="BodyText"/>
        <w:spacing w:line="247" w:lineRule="auto" w:before="98"/>
        <w:ind w:left="105" w:right="379" w:firstLine="664"/>
      </w:pPr>
      <w:r>
        <w:rPr/>
        <w:t>Visto el expediente Nº 4/2021 por incorporación de remanentes de crédito para gastos financiados</w:t>
      </w:r>
      <w:r>
        <w:rPr>
          <w:spacing w:val="1"/>
        </w:rPr>
        <w:t> </w:t>
      </w:r>
      <w:r>
        <w:rPr/>
        <w:t>con remanente de tesorería para gastos generales relacionado con los remanentes de crédito derivados del</w:t>
      </w:r>
      <w:r>
        <w:rPr>
          <w:spacing w:val="1"/>
        </w:rPr>
        <w:t> </w:t>
      </w:r>
      <w:r>
        <w:rPr/>
        <w:t>crédito extraordinario tramitado en 2018 por importe de 5 millones de euros para inversión con número de</w:t>
      </w:r>
      <w:r>
        <w:rPr>
          <w:spacing w:val="1"/>
        </w:rPr>
        <w:t> </w:t>
      </w:r>
      <w:r>
        <w:rPr/>
        <w:t>modificación 12/18 así como del crédito extraordinario 7/19 tramitado por importe de 3.200.000 euros y que</w:t>
      </w:r>
      <w:r>
        <w:rPr>
          <w:spacing w:val="1"/>
        </w:rPr>
        <w:t> </w:t>
      </w:r>
      <w:r>
        <w:rPr/>
        <w:t>fueron</w:t>
      </w:r>
      <w:r>
        <w:rPr>
          <w:spacing w:val="-7"/>
        </w:rPr>
        <w:t> </w:t>
      </w:r>
      <w:r>
        <w:rPr/>
        <w:t>aprobados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debida</w:t>
      </w:r>
      <w:r>
        <w:rPr>
          <w:spacing w:val="-5"/>
        </w:rPr>
        <w:t> </w:t>
      </w:r>
      <w:r>
        <w:rPr/>
        <w:t>publicación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período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art.</w:t>
      </w:r>
      <w:r>
        <w:rPr>
          <w:spacing w:val="-8"/>
        </w:rPr>
        <w:t> </w:t>
      </w:r>
      <w:r>
        <w:rPr/>
        <w:t>182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Texto</w:t>
      </w:r>
      <w:r>
        <w:rPr>
          <w:spacing w:val="-8"/>
        </w:rPr>
        <w:t> </w:t>
      </w:r>
      <w:r>
        <w:rPr/>
        <w:t>Refundido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8"/>
        </w:rPr>
        <w:t> </w:t>
      </w:r>
      <w:r>
        <w:rPr/>
        <w:t>Reguladora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Haciendas</w:t>
      </w:r>
      <w:r>
        <w:rPr>
          <w:spacing w:val="-8"/>
        </w:rPr>
        <w:t> </w:t>
      </w:r>
      <w:r>
        <w:rPr/>
        <w:t>Locales</w:t>
      </w:r>
      <w:r>
        <w:rPr>
          <w:spacing w:val="-8"/>
        </w:rPr>
        <w:t> </w:t>
      </w:r>
      <w:r>
        <w:rPr/>
        <w:t>aprobado</w:t>
      </w:r>
      <w:r>
        <w:rPr>
          <w:spacing w:val="-9"/>
        </w:rPr>
        <w:t> </w:t>
      </w:r>
      <w:r>
        <w:rPr/>
        <w:t>por</w:t>
      </w:r>
      <w:r>
        <w:rPr>
          <w:spacing w:val="-47"/>
        </w:rPr>
        <w:t> </w:t>
      </w:r>
      <w:r>
        <w:rPr/>
        <w:t>Real Decreto Legislativo 2/2004, de 05 de marzo, en el art.47 y 48 del Real Decreto 500/1990, de 20 de abril</w:t>
      </w:r>
      <w:r>
        <w:rPr>
          <w:spacing w:val="-47"/>
        </w:rPr>
        <w:t> </w:t>
      </w:r>
      <w:r>
        <w:rPr/>
        <w:t>y en las Bases de Ejecución del Presupuesto del Ayuntamiento de Tías para el año 2016, el que suscribe,</w:t>
      </w:r>
      <w:r>
        <w:rPr>
          <w:spacing w:val="1"/>
        </w:rPr>
        <w:t> </w:t>
      </w:r>
      <w:r>
        <w:rPr>
          <w:w w:val="105"/>
        </w:rPr>
        <w:t>informa: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9" w:lineRule="auto" w:before="1"/>
        <w:ind w:left="105" w:right="379"/>
      </w:pPr>
      <w:r>
        <w:rPr/>
        <w:t>-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6"/>
        </w:rPr>
        <w:t> </w:t>
      </w:r>
      <w:r>
        <w:rPr/>
        <w:t>pretenden</w:t>
      </w:r>
      <w:r>
        <w:rPr>
          <w:spacing w:val="-11"/>
        </w:rPr>
        <w:t> </w:t>
      </w:r>
      <w:r>
        <w:rPr/>
        <w:t>incorporar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remanentes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gastos</w:t>
      </w:r>
      <w:r>
        <w:rPr>
          <w:spacing w:val="-10"/>
        </w:rPr>
        <w:t> </w:t>
      </w:r>
      <w:r>
        <w:rPr/>
        <w:t>financiados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remanente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tesorería</w:t>
      </w:r>
      <w:r>
        <w:rPr>
          <w:spacing w:val="-9"/>
        </w:rPr>
        <w:t> </w:t>
      </w:r>
      <w:r>
        <w:rPr/>
        <w:t>para</w:t>
      </w:r>
      <w:r>
        <w:rPr>
          <w:spacing w:val="-47"/>
        </w:rPr>
        <w:t> </w:t>
      </w:r>
      <w:r>
        <w:rPr/>
        <w:t>gastos</w:t>
      </w:r>
      <w:r>
        <w:rPr>
          <w:spacing w:val="-6"/>
        </w:rPr>
        <w:t> </w:t>
      </w:r>
      <w:r>
        <w:rPr/>
        <w:t>generales</w:t>
      </w:r>
      <w:r>
        <w:rPr>
          <w:spacing w:val="-7"/>
        </w:rPr>
        <w:t> </w:t>
      </w:r>
      <w:r>
        <w:rPr/>
        <w:t>correspondientes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año</w:t>
      </w:r>
      <w:r>
        <w:rPr>
          <w:spacing w:val="-9"/>
        </w:rPr>
        <w:t> </w:t>
      </w:r>
      <w:r>
        <w:rPr/>
        <w:t>2020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2021: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2612"/>
        <w:gridCol w:w="1730"/>
      </w:tblGrid>
      <w:tr>
        <w:trPr>
          <w:trHeight w:val="283" w:hRule="atLeast"/>
        </w:trPr>
        <w:tc>
          <w:tcPr>
            <w:tcW w:w="1110" w:type="dxa"/>
          </w:tcPr>
          <w:p>
            <w:pPr>
              <w:pStyle w:val="TableParagraph"/>
              <w:spacing w:line="227" w:lineRule="exact" w:before="37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450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60000</w:t>
            </w:r>
          </w:p>
        </w:tc>
        <w:tc>
          <w:tcPr>
            <w:tcW w:w="2612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1" w:lineRule="exact"/>
              <w:ind w:left="63"/>
              <w:rPr>
                <w:sz w:val="13"/>
              </w:rPr>
            </w:pPr>
            <w:r>
              <w:rPr>
                <w:sz w:val="13"/>
              </w:rPr>
              <w:t>INVERSIONES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 TERRENOS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37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1563946,11</w:t>
            </w:r>
          </w:p>
        </w:tc>
      </w:tr>
      <w:tr>
        <w:trPr>
          <w:trHeight w:val="281" w:hRule="atLeast"/>
        </w:trPr>
        <w:tc>
          <w:tcPr>
            <w:tcW w:w="1110" w:type="dxa"/>
          </w:tcPr>
          <w:p>
            <w:pPr>
              <w:pStyle w:val="TableParagraph"/>
              <w:spacing w:line="228" w:lineRule="exact" w:before="33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453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60901</w:t>
            </w:r>
          </w:p>
        </w:tc>
        <w:tc>
          <w:tcPr>
            <w:tcW w:w="261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0" w:lineRule="exact"/>
              <w:ind w:left="63"/>
              <w:rPr>
                <w:sz w:val="13"/>
              </w:rPr>
            </w:pPr>
            <w:r>
              <w:rPr>
                <w:sz w:val="13"/>
              </w:rPr>
              <w:t>INVERSIONES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INFRAESTRUCTURAS</w:t>
            </w:r>
          </w:p>
        </w:tc>
        <w:tc>
          <w:tcPr>
            <w:tcW w:w="1730" w:type="dxa"/>
          </w:tcPr>
          <w:p>
            <w:pPr>
              <w:pStyle w:val="TableParagraph"/>
              <w:spacing w:line="228" w:lineRule="exact" w:before="33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1137296,66</w:t>
            </w:r>
          </w:p>
        </w:tc>
      </w:tr>
      <w:tr>
        <w:trPr>
          <w:trHeight w:val="280" w:hRule="atLeast"/>
        </w:trPr>
        <w:tc>
          <w:tcPr>
            <w:tcW w:w="1110" w:type="dxa"/>
          </w:tcPr>
          <w:p>
            <w:pPr>
              <w:pStyle w:val="TableParagraph"/>
              <w:spacing w:line="225" w:lineRule="exact" w:before="35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920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62500</w:t>
            </w:r>
          </w:p>
        </w:tc>
        <w:tc>
          <w:tcPr>
            <w:tcW w:w="2612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40" w:lineRule="exact" w:before="1"/>
              <w:ind w:left="63"/>
              <w:rPr>
                <w:sz w:val="13"/>
              </w:rPr>
            </w:pPr>
            <w:r>
              <w:rPr>
                <w:sz w:val="13"/>
              </w:rPr>
              <w:t>MOBILIARIO</w:t>
            </w:r>
          </w:p>
        </w:tc>
        <w:tc>
          <w:tcPr>
            <w:tcW w:w="1730" w:type="dxa"/>
          </w:tcPr>
          <w:p>
            <w:pPr>
              <w:pStyle w:val="TableParagraph"/>
              <w:spacing w:line="225" w:lineRule="exact" w:before="35"/>
              <w:ind w:right="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3113</w:t>
            </w:r>
          </w:p>
        </w:tc>
      </w:tr>
      <w:tr>
        <w:trPr>
          <w:trHeight w:val="280" w:hRule="atLeast"/>
        </w:trPr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38" w:lineRule="exact"/>
              <w:ind w:left="63"/>
              <w:rPr>
                <w:sz w:val="13"/>
              </w:rPr>
            </w:pPr>
            <w:r>
              <w:rPr>
                <w:sz w:val="13"/>
              </w:rPr>
              <w:t>TOTAL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35"/>
              <w:ind w:right="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2704355,77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7" w:lineRule="auto"/>
        <w:ind w:left="105" w:right="379" w:firstLine="664"/>
      </w:pP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vez</w:t>
      </w:r>
      <w:r>
        <w:rPr>
          <w:spacing w:val="-12"/>
          <w:w w:val="105"/>
        </w:rPr>
        <w:t> </w:t>
      </w:r>
      <w:r>
        <w:rPr>
          <w:w w:val="105"/>
        </w:rPr>
        <w:t>aprobada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liquidación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ejercicio</w:t>
      </w:r>
      <w:r>
        <w:rPr>
          <w:spacing w:val="-9"/>
          <w:w w:val="105"/>
        </w:rPr>
        <w:t> </w:t>
      </w:r>
      <w:r>
        <w:rPr>
          <w:w w:val="105"/>
        </w:rPr>
        <w:t>2020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Decreto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fecha</w:t>
      </w:r>
      <w:r>
        <w:rPr>
          <w:spacing w:val="-8"/>
          <w:w w:val="105"/>
        </w:rPr>
        <w:t> </w:t>
      </w:r>
      <w:r>
        <w:rPr>
          <w:w w:val="105"/>
        </w:rPr>
        <w:t>24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febrero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2021,</w:t>
      </w:r>
      <w:r>
        <w:rPr>
          <w:spacing w:val="-49"/>
          <w:w w:val="105"/>
        </w:rPr>
        <w:t> </w:t>
      </w:r>
      <w:r>
        <w:rPr>
          <w:w w:val="105"/>
        </w:rPr>
        <w:t>queda acreditado la existencia de remanente de tesorería para gastos generales por importe suficiente</w:t>
      </w:r>
      <w:r>
        <w:rPr>
          <w:spacing w:val="1"/>
          <w:w w:val="105"/>
        </w:rPr>
        <w:t> </w:t>
      </w:r>
      <w:r>
        <w:rPr>
          <w:w w:val="105"/>
        </w:rPr>
        <w:t>como para poder financiar y tramitar la presente modificación, pues asciende a más de 9 millones de</w:t>
      </w:r>
      <w:r>
        <w:rPr>
          <w:spacing w:val="1"/>
          <w:w w:val="105"/>
        </w:rPr>
        <w:t> </w:t>
      </w:r>
      <w:r>
        <w:rPr>
          <w:w w:val="105"/>
        </w:rPr>
        <w:t>euros.</w:t>
      </w:r>
    </w:p>
    <w:p>
      <w:pPr>
        <w:pStyle w:val="BodyText"/>
        <w:spacing w:line="249" w:lineRule="auto" w:before="3"/>
        <w:ind w:left="105" w:right="379" w:firstLine="664"/>
      </w:pP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otro</w:t>
      </w:r>
      <w:r>
        <w:rPr>
          <w:spacing w:val="-11"/>
          <w:w w:val="105"/>
        </w:rPr>
        <w:t> </w:t>
      </w:r>
      <w:r>
        <w:rPr>
          <w:w w:val="105"/>
        </w:rPr>
        <w:t>lado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advierte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ejecución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inversiones</w:t>
      </w:r>
      <w:r>
        <w:rPr>
          <w:spacing w:val="-12"/>
          <w:w w:val="105"/>
        </w:rPr>
        <w:t> </w:t>
      </w:r>
      <w:r>
        <w:rPr>
          <w:w w:val="105"/>
        </w:rPr>
        <w:t>implicará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incremente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gasto</w:t>
      </w:r>
      <w:r>
        <w:rPr>
          <w:spacing w:val="-50"/>
          <w:w w:val="105"/>
        </w:rPr>
        <w:t> </w:t>
      </w:r>
      <w:r>
        <w:rPr>
          <w:w w:val="105"/>
        </w:rPr>
        <w:t>computable en el montante de las obligaciones reconocidas afectando a la estabilidad presupuestaria</w:t>
      </w:r>
      <w:r>
        <w:rPr>
          <w:spacing w:val="1"/>
          <w:w w:val="105"/>
        </w:rPr>
        <w:t> </w:t>
      </w:r>
      <w:r>
        <w:rPr>
          <w:w w:val="105"/>
        </w:rPr>
        <w:t>propiciando su incumplimiento posible. Dicha afección será directa si bien el resultado final de la</w:t>
      </w:r>
      <w:r>
        <w:rPr>
          <w:spacing w:val="1"/>
          <w:w w:val="105"/>
        </w:rPr>
        <w:t> </w:t>
      </w:r>
      <w:r>
        <w:rPr>
          <w:w w:val="105"/>
        </w:rPr>
        <w:t>liquidación dependerá de las ejecuciones tanto de gastos como de ingresos, lo cual deberá tenerse en</w:t>
      </w:r>
      <w:r>
        <w:rPr>
          <w:spacing w:val="1"/>
          <w:w w:val="105"/>
        </w:rPr>
        <w:t> </w:t>
      </w:r>
      <w:r>
        <w:rPr>
          <w:w w:val="105"/>
        </w:rPr>
        <w:t>cuenta.</w:t>
      </w:r>
    </w:p>
    <w:p>
      <w:pPr>
        <w:pStyle w:val="BodyText"/>
      </w:pPr>
    </w:p>
    <w:p>
      <w:pPr>
        <w:pStyle w:val="BodyText"/>
        <w:spacing w:line="249" w:lineRule="auto"/>
        <w:ind w:left="105" w:right="427" w:firstLine="664"/>
      </w:pPr>
      <w:r>
        <w:rPr/>
        <w:t>Por</w:t>
      </w:r>
      <w:r>
        <w:rPr>
          <w:spacing w:val="-10"/>
        </w:rPr>
        <w:t> </w:t>
      </w:r>
      <w:r>
        <w:rPr/>
        <w:t>todo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anterior</w:t>
      </w:r>
      <w:r>
        <w:rPr>
          <w:spacing w:val="-10"/>
        </w:rPr>
        <w:t> </w:t>
      </w:r>
      <w:r>
        <w:rPr/>
        <w:t>informo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expediente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modificación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Nº4/2021,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ajusta</w:t>
      </w:r>
      <w:r>
        <w:rPr>
          <w:spacing w:val="-12"/>
        </w:rPr>
        <w:t> </w:t>
      </w:r>
      <w:r>
        <w:rPr/>
        <w:t>a</w:t>
      </w:r>
      <w:r>
        <w:rPr>
          <w:spacing w:val="-47"/>
        </w:rPr>
        <w:t> </w:t>
      </w:r>
      <w:r>
        <w:rPr/>
        <w:t>la legalidad vigente con la advertencia realizada respecto a posible incumplimiento de la regla de gasto y</w:t>
      </w:r>
      <w:r>
        <w:rPr>
          <w:spacing w:val="1"/>
        </w:rPr>
        <w:t> </w:t>
      </w:r>
      <w:r>
        <w:rPr>
          <w:w w:val="105"/>
        </w:rPr>
        <w:t>estabilidad.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ind w:left="290" w:right="590"/>
        <w:jc w:val="center"/>
      </w:pPr>
      <w:r>
        <w:rPr/>
        <w:t>EL</w:t>
      </w:r>
      <w:r>
        <w:rPr>
          <w:spacing w:val="-4"/>
        </w:rPr>
        <w:t> </w:t>
      </w:r>
      <w:r>
        <w:rPr/>
        <w:t>INTERVENTOR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0"/>
        <w:ind w:left="290" w:right="591"/>
        <w:jc w:val="center"/>
      </w:pPr>
      <w:r>
        <w:rPr/>
        <w:t>Miguel</w:t>
      </w:r>
      <w:r>
        <w:rPr>
          <w:spacing w:val="-7"/>
        </w:rPr>
        <w:t> </w:t>
      </w:r>
      <w:r>
        <w:rPr/>
        <w:t>Ángel</w:t>
      </w:r>
      <w:r>
        <w:rPr>
          <w:spacing w:val="-10"/>
        </w:rPr>
        <w:t> </w:t>
      </w:r>
      <w:r>
        <w:rPr/>
        <w:t>Guerra</w:t>
      </w:r>
      <w:r>
        <w:rPr>
          <w:spacing w:val="-8"/>
        </w:rPr>
        <w:t> </w:t>
      </w:r>
      <w:r>
        <w:rPr/>
        <w:t>Naverán,</w:t>
      </w:r>
    </w:p>
    <w:sectPr>
      <w:type w:val="continuous"/>
      <w:pgSz w:w="12240" w:h="15840"/>
      <w:pgMar w:top="660" w:bottom="280" w:left="12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sede.ayuntamientodetias.es/validacio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Microsoft Word - 4-21, incorporacion rtes credito de cred extra 2018-5M y 2019-3,2M rte tes gastos grales</dc:title>
  <dcterms:created xsi:type="dcterms:W3CDTF">2022-10-11T08:46:00Z</dcterms:created>
  <dcterms:modified xsi:type="dcterms:W3CDTF">2022-10-11T08:46:00Z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2022-10-11T00:00:00Z</vt:filetime>
  </property>
</Properties>
</file>