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591A" w14:textId="77777777" w:rsidR="00165E88" w:rsidRDefault="00000000">
      <w:pPr>
        <w:pStyle w:val="Ttulo1"/>
        <w:spacing w:before="77"/>
        <w:ind w:right="120"/>
        <w:jc w:val="both"/>
      </w:pPr>
      <w:r>
        <w:t>TEXTO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BORRADOR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REGULADORA DE LAS TASAS POR PRESTACIÓN DE SERVICIOS PARA LA RECOGIDA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RESIDUOS SÓLIDOS</w:t>
      </w:r>
      <w:r>
        <w:rPr>
          <w:spacing w:val="4"/>
        </w:rPr>
        <w:t xml:space="preserve"> </w:t>
      </w:r>
      <w:r>
        <w:t>URBANOS.</w:t>
      </w:r>
    </w:p>
    <w:p w14:paraId="08B61FD4" w14:textId="77777777" w:rsidR="00165E88" w:rsidRDefault="00165E88">
      <w:pPr>
        <w:pStyle w:val="Textoindependiente"/>
        <w:rPr>
          <w:rFonts w:ascii="Arial"/>
          <w:b/>
          <w:sz w:val="22"/>
        </w:rPr>
      </w:pPr>
    </w:p>
    <w:p w14:paraId="4DEFB246" w14:textId="77777777" w:rsidR="00165E88" w:rsidRDefault="00165E88">
      <w:pPr>
        <w:pStyle w:val="Textoindependiente"/>
        <w:rPr>
          <w:rFonts w:ascii="Arial"/>
          <w:b/>
          <w:sz w:val="24"/>
        </w:rPr>
      </w:pPr>
    </w:p>
    <w:p w14:paraId="7F971259" w14:textId="77777777" w:rsidR="00165E88" w:rsidRDefault="00000000">
      <w:pPr>
        <w:ind w:left="10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PREÁMBULO</w:t>
      </w:r>
    </w:p>
    <w:p w14:paraId="61A7E840" w14:textId="77777777" w:rsidR="00165E88" w:rsidRDefault="00165E88">
      <w:pPr>
        <w:pStyle w:val="Textoindependiente"/>
        <w:spacing w:before="11"/>
        <w:rPr>
          <w:rFonts w:ascii="Arial"/>
          <w:b/>
          <w:sz w:val="25"/>
        </w:rPr>
      </w:pPr>
    </w:p>
    <w:p w14:paraId="0185CC46" w14:textId="77777777" w:rsidR="00165E88" w:rsidRDefault="00000000">
      <w:pPr>
        <w:pStyle w:val="Textoindependiente"/>
        <w:ind w:left="101" w:right="118"/>
        <w:jc w:val="both"/>
      </w:pPr>
      <w:r>
        <w:t>El</w:t>
      </w:r>
      <w:r>
        <w:rPr>
          <w:spacing w:val="-10"/>
        </w:rPr>
        <w:t xml:space="preserve"> </w:t>
      </w:r>
      <w:r>
        <w:t>contenido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Ordenanza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adecua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principios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buena</w:t>
      </w:r>
      <w:r>
        <w:rPr>
          <w:spacing w:val="-9"/>
        </w:rPr>
        <w:t xml:space="preserve"> </w:t>
      </w:r>
      <w:r>
        <w:t>regulación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refiere</w:t>
      </w:r>
      <w:r>
        <w:rPr>
          <w:spacing w:val="-5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39/2015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necesidad,</w:t>
      </w:r>
      <w:r>
        <w:rPr>
          <w:spacing w:val="1"/>
        </w:rPr>
        <w:t xml:space="preserve"> </w:t>
      </w:r>
      <w:r>
        <w:t>eficacia,</w:t>
      </w:r>
      <w:r>
        <w:rPr>
          <w:spacing w:val="1"/>
        </w:rPr>
        <w:t xml:space="preserve"> </w:t>
      </w:r>
      <w:r>
        <w:t>proporcionalidad,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eficiencia.</w:t>
      </w:r>
    </w:p>
    <w:p w14:paraId="04FA57EC" w14:textId="77777777" w:rsidR="00165E88" w:rsidRDefault="00165E88">
      <w:pPr>
        <w:pStyle w:val="Textoindependiente"/>
        <w:spacing w:before="11"/>
        <w:rPr>
          <w:sz w:val="19"/>
        </w:rPr>
      </w:pPr>
    </w:p>
    <w:p w14:paraId="130BBEF2" w14:textId="77777777" w:rsidR="00165E88" w:rsidRDefault="00000000">
      <w:pPr>
        <w:pStyle w:val="Textoindependiente"/>
        <w:ind w:left="101" w:right="118"/>
        <w:jc w:val="both"/>
      </w:pPr>
      <w:r>
        <w:t>La</w:t>
      </w:r>
      <w:r>
        <w:rPr>
          <w:spacing w:val="-5"/>
        </w:rPr>
        <w:t xml:space="preserve"> </w:t>
      </w:r>
      <w:r>
        <w:t>modificación</w:t>
      </w:r>
      <w:r>
        <w:rPr>
          <w:spacing w:val="-6"/>
        </w:rPr>
        <w:t xml:space="preserve"> </w:t>
      </w:r>
      <w:r>
        <w:t>propuesta</w:t>
      </w:r>
      <w:r>
        <w:rPr>
          <w:spacing w:val="-5"/>
        </w:rPr>
        <w:t xml:space="preserve"> </w:t>
      </w:r>
      <w:r>
        <w:t>afecta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bonificación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tasa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Basura</w:t>
      </w:r>
      <w:r>
        <w:rPr>
          <w:spacing w:val="-5"/>
        </w:rPr>
        <w:t xml:space="preserve"> </w:t>
      </w:r>
      <w:r>
        <w:t>Domiciliaria,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concreto</w:t>
      </w:r>
      <w:r>
        <w:rPr>
          <w:spacing w:val="-53"/>
        </w:rPr>
        <w:t xml:space="preserve"> </w:t>
      </w:r>
      <w:r>
        <w:t>para modificar los requisitos que deben cumplir los sujetos pasivos para que les sea aplicable.</w:t>
      </w:r>
      <w:r>
        <w:rPr>
          <w:spacing w:val="1"/>
        </w:rPr>
        <w:t xml:space="preserve"> </w:t>
      </w:r>
      <w:r>
        <w:t>Está prevista para los sujetos pasivos que obtengan en el conjunto de la unidad familiar, y por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conceptos,</w:t>
      </w:r>
      <w:r>
        <w:rPr>
          <w:spacing w:val="1"/>
        </w:rPr>
        <w:t xml:space="preserve"> </w:t>
      </w:r>
      <w:r>
        <w:t>rentas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multiplicar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S.M.I</w:t>
      </w:r>
      <w:r>
        <w:rPr>
          <w:spacing w:val="1"/>
        </w:rPr>
        <w:t xml:space="preserve"> </w:t>
      </w:r>
      <w:r>
        <w:t>establecido para mayores de dieciocho años por 1,5. Con la modificación se propone que sea</w:t>
      </w:r>
      <w:r>
        <w:rPr>
          <w:spacing w:val="1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pasivos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obtengan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conjunto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familiar,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todos los</w:t>
      </w:r>
      <w:r>
        <w:rPr>
          <w:spacing w:val="-53"/>
        </w:rPr>
        <w:t xml:space="preserve"> </w:t>
      </w:r>
      <w:r>
        <w:t>conceptos, rentas anuales que no superen el resultado de multiplicar el S.M.I establecido para</w:t>
      </w:r>
      <w:r>
        <w:rPr>
          <w:spacing w:val="1"/>
        </w:rPr>
        <w:t xml:space="preserve"> </w:t>
      </w:r>
      <w:r>
        <w:t>mayores de</w:t>
      </w:r>
      <w:r>
        <w:rPr>
          <w:spacing w:val="2"/>
        </w:rPr>
        <w:t xml:space="preserve"> </w:t>
      </w:r>
      <w:r>
        <w:t>dieciocho</w:t>
      </w:r>
      <w:r>
        <w:rPr>
          <w:spacing w:val="-1"/>
        </w:rPr>
        <w:t xml:space="preserve"> </w:t>
      </w:r>
      <w:r>
        <w:t>años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2.</w:t>
      </w:r>
    </w:p>
    <w:p w14:paraId="44A91074" w14:textId="77777777" w:rsidR="00165E88" w:rsidRDefault="00165E88">
      <w:pPr>
        <w:pStyle w:val="Textoindependiente"/>
        <w:rPr>
          <w:sz w:val="22"/>
        </w:rPr>
      </w:pPr>
    </w:p>
    <w:p w14:paraId="24E9181A" w14:textId="77777777" w:rsidR="00165E88" w:rsidRDefault="00000000">
      <w:pPr>
        <w:pStyle w:val="Textoindependiente"/>
        <w:spacing w:before="156" w:line="256" w:lineRule="auto"/>
        <w:ind w:left="101" w:right="120"/>
        <w:jc w:val="both"/>
      </w:pP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propone,</w:t>
      </w:r>
      <w:r>
        <w:rPr>
          <w:spacing w:val="-14"/>
        </w:rPr>
        <w:t xml:space="preserve"> </w:t>
      </w:r>
      <w:r>
        <w:rPr>
          <w:spacing w:val="-1"/>
        </w:rPr>
        <w:t>igualmente,</w:t>
      </w:r>
      <w:r>
        <w:rPr>
          <w:spacing w:val="-12"/>
        </w:rPr>
        <w:t xml:space="preserve"> </w:t>
      </w:r>
      <w:r>
        <w:rPr>
          <w:spacing w:val="-1"/>
        </w:rPr>
        <w:t>modificar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epígrafe</w:t>
      </w:r>
      <w:r>
        <w:rPr>
          <w:spacing w:val="-12"/>
        </w:rPr>
        <w:t xml:space="preserve"> </w:t>
      </w:r>
      <w:r>
        <w:rPr>
          <w:spacing w:val="-1"/>
        </w:rPr>
        <w:t>J)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tarifas</w:t>
      </w:r>
      <w:r>
        <w:rPr>
          <w:spacing w:val="-10"/>
        </w:rPr>
        <w:t xml:space="preserve"> </w:t>
      </w:r>
      <w:r>
        <w:t>aplicables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añadir</w:t>
      </w:r>
      <w:r>
        <w:rPr>
          <w:spacing w:val="-16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industrias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distribución de</w:t>
      </w:r>
      <w:r>
        <w:rPr>
          <w:spacing w:val="2"/>
        </w:rPr>
        <w:t xml:space="preserve"> </w:t>
      </w:r>
      <w:r>
        <w:t>productos.</w:t>
      </w:r>
    </w:p>
    <w:p w14:paraId="1D4E60F5" w14:textId="77777777" w:rsidR="00165E88" w:rsidRDefault="00000000">
      <w:pPr>
        <w:pStyle w:val="Textoindependiente"/>
        <w:spacing w:before="163"/>
        <w:ind w:left="101" w:right="117"/>
        <w:jc w:val="both"/>
      </w:pPr>
      <w:r>
        <w:t>Así</w:t>
      </w:r>
      <w:r>
        <w:rPr>
          <w:spacing w:val="-6"/>
        </w:rPr>
        <w:t xml:space="preserve"> </w:t>
      </w:r>
      <w:r>
        <w:t>mismo,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utilizado</w:t>
      </w:r>
      <w:r>
        <w:rPr>
          <w:spacing w:val="-4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modificaciones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adaptar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ordenanza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28.2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39/2015,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octubre,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Administrativo</w:t>
      </w:r>
      <w:r>
        <w:rPr>
          <w:spacing w:val="-4"/>
        </w:rPr>
        <w:t xml:space="preserve"> </w:t>
      </w:r>
      <w:r>
        <w:t>Común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3"/>
        </w:rPr>
        <w:t xml:space="preserve"> </w:t>
      </w:r>
      <w:r>
        <w:t>Administraciones Públicas, eliminando la exigencia de que los sujetos pasivos aporten, junto 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solicitud,</w:t>
      </w:r>
      <w:r>
        <w:rPr>
          <w:spacing w:val="-1"/>
        </w:rPr>
        <w:t xml:space="preserve"> </w:t>
      </w:r>
      <w:r>
        <w:t>certificado</w:t>
      </w:r>
      <w:r>
        <w:rPr>
          <w:spacing w:val="2"/>
        </w:rPr>
        <w:t xml:space="preserve"> </w:t>
      </w:r>
      <w:r>
        <w:t>de empadronamiento.</w:t>
      </w:r>
    </w:p>
    <w:p w14:paraId="62EA63BB" w14:textId="77777777" w:rsidR="00165E88" w:rsidRDefault="00165E88">
      <w:pPr>
        <w:pStyle w:val="Textoindependiente"/>
        <w:rPr>
          <w:sz w:val="22"/>
        </w:rPr>
      </w:pPr>
    </w:p>
    <w:p w14:paraId="5500D6C6" w14:textId="77777777" w:rsidR="00165E88" w:rsidRDefault="00165E88">
      <w:pPr>
        <w:pStyle w:val="Textoindependiente"/>
        <w:rPr>
          <w:sz w:val="22"/>
        </w:rPr>
      </w:pPr>
    </w:p>
    <w:p w14:paraId="1C3C3B9B" w14:textId="77777777" w:rsidR="00165E88" w:rsidRDefault="00165E88">
      <w:pPr>
        <w:pStyle w:val="Textoindependiente"/>
        <w:spacing w:before="1"/>
        <w:rPr>
          <w:sz w:val="27"/>
        </w:rPr>
      </w:pPr>
    </w:p>
    <w:p w14:paraId="4DC75C56" w14:textId="77777777" w:rsidR="00165E88" w:rsidRDefault="00000000">
      <w:pPr>
        <w:pStyle w:val="Textoindependiente"/>
        <w:ind w:left="101" w:right="118"/>
        <w:jc w:val="both"/>
      </w:pPr>
      <w:r>
        <w:t>La redacción del artículo 5 y de la letra J) del Anexo I de la Ordenanza Fiscal reguladora de las</w:t>
      </w:r>
      <w:r>
        <w:rPr>
          <w:spacing w:val="1"/>
        </w:rPr>
        <w:t xml:space="preserve"> </w:t>
      </w:r>
      <w:r>
        <w:t>Tasas por prestación de Servicios para la Recogida de Residuos Sólidos Urbanos, con la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propuesta queda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forma:</w:t>
      </w:r>
    </w:p>
    <w:p w14:paraId="742E1D77" w14:textId="77777777" w:rsidR="00165E88" w:rsidRDefault="00165E88">
      <w:pPr>
        <w:pStyle w:val="Textoindependiente"/>
        <w:rPr>
          <w:sz w:val="22"/>
        </w:rPr>
      </w:pPr>
    </w:p>
    <w:p w14:paraId="282D5059" w14:textId="77777777" w:rsidR="00165E88" w:rsidRDefault="00000000">
      <w:pPr>
        <w:pStyle w:val="Ttulo1"/>
        <w:spacing w:before="154"/>
      </w:pPr>
      <w:r>
        <w:t>ARTÍCULO</w:t>
      </w:r>
      <w:r>
        <w:rPr>
          <w:spacing w:val="-4"/>
        </w:rPr>
        <w:t xml:space="preserve"> </w:t>
      </w:r>
      <w:r>
        <w:t>5</w:t>
      </w:r>
    </w:p>
    <w:p w14:paraId="6D703262" w14:textId="77777777" w:rsidR="00165E88" w:rsidRDefault="00000000">
      <w:pPr>
        <w:pStyle w:val="Prrafodelista"/>
        <w:numPr>
          <w:ilvl w:val="0"/>
          <w:numId w:val="1"/>
        </w:numPr>
        <w:tabs>
          <w:tab w:val="left" w:pos="342"/>
        </w:tabs>
        <w:spacing w:before="178" w:line="259" w:lineRule="auto"/>
        <w:ind w:firstLine="0"/>
        <w:jc w:val="both"/>
        <w:rPr>
          <w:sz w:val="20"/>
        </w:rPr>
      </w:pPr>
      <w:r>
        <w:rPr>
          <w:sz w:val="20"/>
        </w:rPr>
        <w:t>De conformidad con lo establecido en el artículo 9 del Real Decreto Legislativo 2/2004, no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-5"/>
          <w:sz w:val="20"/>
        </w:rPr>
        <w:t xml:space="preserve"> </w:t>
      </w:r>
      <w:r>
        <w:rPr>
          <w:sz w:val="20"/>
        </w:rPr>
        <w:t>reconocerse</w:t>
      </w:r>
      <w:r>
        <w:rPr>
          <w:spacing w:val="-5"/>
          <w:sz w:val="20"/>
        </w:rPr>
        <w:t xml:space="preserve"> </w:t>
      </w: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beneficios</w:t>
      </w:r>
      <w:r>
        <w:rPr>
          <w:spacing w:val="-4"/>
          <w:sz w:val="20"/>
        </w:rPr>
        <w:t xml:space="preserve"> </w:t>
      </w:r>
      <w:r>
        <w:rPr>
          <w:sz w:val="20"/>
        </w:rPr>
        <w:t>fiscales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-4"/>
          <w:sz w:val="20"/>
        </w:rPr>
        <w:t xml:space="preserve"> </w:t>
      </w:r>
      <w:r>
        <w:rPr>
          <w:sz w:val="20"/>
        </w:rPr>
        <w:t>previstos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normas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rango de</w:t>
      </w:r>
      <w:r>
        <w:rPr>
          <w:spacing w:val="-2"/>
          <w:sz w:val="20"/>
        </w:rPr>
        <w:t xml:space="preserve"> </w:t>
      </w:r>
      <w:r>
        <w:rPr>
          <w:sz w:val="20"/>
        </w:rPr>
        <w:t>Ley o</w:t>
      </w:r>
      <w:r>
        <w:rPr>
          <w:spacing w:val="-2"/>
          <w:sz w:val="20"/>
        </w:rPr>
        <w:t xml:space="preserve"> </w:t>
      </w:r>
      <w:r>
        <w:rPr>
          <w:sz w:val="20"/>
        </w:rPr>
        <w:t>los derivados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Tratados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Acuerdos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Internacionales.</w:t>
      </w:r>
    </w:p>
    <w:p w14:paraId="0449C175" w14:textId="77777777" w:rsidR="00165E88" w:rsidRDefault="00000000">
      <w:pPr>
        <w:pStyle w:val="Prrafodelista"/>
        <w:numPr>
          <w:ilvl w:val="0"/>
          <w:numId w:val="1"/>
        </w:numPr>
        <w:tabs>
          <w:tab w:val="left" w:pos="321"/>
        </w:tabs>
        <w:spacing w:before="160" w:line="259" w:lineRule="auto"/>
        <w:ind w:right="118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Basura</w:t>
      </w:r>
      <w:r>
        <w:rPr>
          <w:spacing w:val="-2"/>
          <w:sz w:val="20"/>
        </w:rPr>
        <w:t xml:space="preserve"> </w:t>
      </w:r>
      <w:r>
        <w:rPr>
          <w:sz w:val="20"/>
        </w:rPr>
        <w:t>Domiciliaria,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24.4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real Decreto Legislativo 2/2004, se aplicará una cuota de "0" euros a aquellos sujetos pasivos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obtengan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conjunto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unidad</w:t>
      </w:r>
      <w:r>
        <w:rPr>
          <w:spacing w:val="-4"/>
          <w:sz w:val="20"/>
        </w:rPr>
        <w:t xml:space="preserve"> </w:t>
      </w:r>
      <w:r>
        <w:rPr>
          <w:sz w:val="20"/>
        </w:rPr>
        <w:t>familiar,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conceptos,</w:t>
      </w:r>
      <w:r>
        <w:rPr>
          <w:spacing w:val="-6"/>
          <w:sz w:val="20"/>
        </w:rPr>
        <w:t xml:space="preserve"> </w:t>
      </w:r>
      <w:r>
        <w:rPr>
          <w:sz w:val="20"/>
        </w:rPr>
        <w:t>rentas</w:t>
      </w:r>
      <w:r>
        <w:rPr>
          <w:spacing w:val="-3"/>
          <w:sz w:val="20"/>
        </w:rPr>
        <w:t xml:space="preserve"> </w:t>
      </w:r>
      <w:r>
        <w:rPr>
          <w:sz w:val="20"/>
        </w:rPr>
        <w:t>anuales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4"/>
          <w:sz w:val="20"/>
        </w:rPr>
        <w:t xml:space="preserve"> </w:t>
      </w:r>
      <w:r>
        <w:rPr>
          <w:sz w:val="20"/>
        </w:rPr>
        <w:t>no superen el resultado de multiplicar el S.M.I establecido para mayores de dieciocho años por</w:t>
      </w:r>
      <w:r>
        <w:rPr>
          <w:spacing w:val="1"/>
          <w:sz w:val="20"/>
        </w:rPr>
        <w:t xml:space="preserve"> </w:t>
      </w:r>
      <w:r>
        <w:rPr>
          <w:sz w:val="20"/>
        </w:rPr>
        <w:t>2 siempre y cuando no sean titulares de bienes inmuebles urbanos distintos del destinado a su</w:t>
      </w:r>
      <w:r>
        <w:rPr>
          <w:spacing w:val="1"/>
          <w:sz w:val="20"/>
        </w:rPr>
        <w:t xml:space="preserve"> </w:t>
      </w:r>
      <w:r>
        <w:rPr>
          <w:sz w:val="20"/>
        </w:rPr>
        <w:t>vivienda,</w:t>
      </w:r>
      <w:r>
        <w:rPr>
          <w:spacing w:val="-2"/>
          <w:sz w:val="20"/>
        </w:rPr>
        <w:t xml:space="preserve"> </w:t>
      </w:r>
      <w:r>
        <w:rPr>
          <w:sz w:val="20"/>
        </w:rPr>
        <w:t>y se</w:t>
      </w:r>
      <w:r>
        <w:rPr>
          <w:spacing w:val="-2"/>
          <w:sz w:val="20"/>
        </w:rPr>
        <w:t xml:space="preserve"> </w:t>
      </w:r>
      <w:r>
        <w:rPr>
          <w:sz w:val="20"/>
        </w:rPr>
        <w:t>acredite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misma</w:t>
      </w:r>
      <w:r>
        <w:rPr>
          <w:spacing w:val="-1"/>
          <w:sz w:val="20"/>
        </w:rPr>
        <w:t xml:space="preserve"> </w:t>
      </w:r>
      <w:r>
        <w:rPr>
          <w:sz w:val="20"/>
        </w:rPr>
        <w:t>constituye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vivienda habitual.</w:t>
      </w:r>
    </w:p>
    <w:p w14:paraId="1C8F4FB1" w14:textId="77777777" w:rsidR="00165E88" w:rsidRDefault="00000000">
      <w:pPr>
        <w:pStyle w:val="Textoindependiente"/>
        <w:spacing w:before="158"/>
        <w:ind w:left="101"/>
        <w:jc w:val="both"/>
      </w:pPr>
      <w:r>
        <w:t>Se</w:t>
      </w:r>
      <w:r>
        <w:rPr>
          <w:spacing w:val="-3"/>
        </w:rPr>
        <w:t xml:space="preserve"> </w:t>
      </w:r>
      <w:r>
        <w:t>presumirá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habitual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aquélla</w:t>
      </w:r>
      <w:r>
        <w:rPr>
          <w:spacing w:val="-3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empadronado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sujeto</w:t>
      </w:r>
      <w:r>
        <w:rPr>
          <w:spacing w:val="-3"/>
        </w:rPr>
        <w:t xml:space="preserve"> </w:t>
      </w:r>
      <w:r>
        <w:t>pasivo.</w:t>
      </w:r>
    </w:p>
    <w:p w14:paraId="40F0F6E4" w14:textId="77777777" w:rsidR="00165E88" w:rsidRDefault="00000000">
      <w:pPr>
        <w:pStyle w:val="Prrafodelista"/>
        <w:numPr>
          <w:ilvl w:val="0"/>
          <w:numId w:val="1"/>
        </w:numPr>
        <w:tabs>
          <w:tab w:val="left" w:pos="323"/>
        </w:tabs>
        <w:spacing w:before="181" w:line="256" w:lineRule="auto"/>
        <w:ind w:right="124" w:firstLine="0"/>
        <w:jc w:val="both"/>
        <w:rPr>
          <w:sz w:val="20"/>
        </w:rPr>
      </w:pPr>
      <w:r>
        <w:rPr>
          <w:sz w:val="20"/>
        </w:rPr>
        <w:t>La solicitud de bonificación deberá presentarse antes del inicio de cada periodo impositivo en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aplicarse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bonificación, aportando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siguiente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documentación:</w:t>
      </w:r>
    </w:p>
    <w:p w14:paraId="773C6E81" w14:textId="77777777" w:rsidR="00165E88" w:rsidRDefault="00000000">
      <w:pPr>
        <w:pStyle w:val="Prrafodelista"/>
        <w:numPr>
          <w:ilvl w:val="1"/>
          <w:numId w:val="1"/>
        </w:numPr>
        <w:tabs>
          <w:tab w:val="left" w:pos="894"/>
        </w:tabs>
        <w:spacing w:line="259" w:lineRule="auto"/>
        <w:ind w:left="667" w:firstLine="0"/>
        <w:jc w:val="both"/>
        <w:rPr>
          <w:sz w:val="20"/>
        </w:rPr>
      </w:pPr>
      <w:r>
        <w:rPr>
          <w:sz w:val="20"/>
        </w:rPr>
        <w:t>Declaración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IRPF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interesado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encuentra</w:t>
      </w:r>
      <w:r>
        <w:rPr>
          <w:spacing w:val="-10"/>
          <w:sz w:val="20"/>
        </w:rPr>
        <w:t xml:space="preserve"> </w:t>
      </w:r>
      <w:r>
        <w:rPr>
          <w:sz w:val="20"/>
        </w:rPr>
        <w:t>obligado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su</w:t>
      </w:r>
      <w:r>
        <w:rPr>
          <w:spacing w:val="-10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-9"/>
          <w:sz w:val="20"/>
        </w:rPr>
        <w:t xml:space="preserve"> </w:t>
      </w:r>
      <w:r>
        <w:rPr>
          <w:sz w:val="20"/>
        </w:rPr>
        <w:t>o,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53"/>
          <w:sz w:val="20"/>
        </w:rPr>
        <w:t xml:space="preserve"> </w:t>
      </w:r>
      <w:r>
        <w:rPr>
          <w:sz w:val="20"/>
        </w:rPr>
        <w:t>contrario, certificación acreditativa de la inexistencia del deber de presentar 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por dicho</w:t>
      </w:r>
      <w:r>
        <w:rPr>
          <w:spacing w:val="-2"/>
          <w:sz w:val="20"/>
        </w:rPr>
        <w:t xml:space="preserve"> </w:t>
      </w:r>
      <w:r>
        <w:rPr>
          <w:sz w:val="20"/>
        </w:rPr>
        <w:t>Impuesto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trate.</w:t>
      </w:r>
    </w:p>
    <w:p w14:paraId="6468375C" w14:textId="77777777" w:rsidR="00165E88" w:rsidRDefault="00165E88">
      <w:pPr>
        <w:spacing w:line="259" w:lineRule="auto"/>
        <w:jc w:val="both"/>
        <w:rPr>
          <w:sz w:val="20"/>
        </w:rPr>
        <w:sectPr w:rsidR="00165E88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0D209EDD" w14:textId="77777777" w:rsidR="00165E88" w:rsidRDefault="00000000">
      <w:pPr>
        <w:pStyle w:val="Prrafodelista"/>
        <w:numPr>
          <w:ilvl w:val="1"/>
          <w:numId w:val="1"/>
        </w:numPr>
        <w:tabs>
          <w:tab w:val="left" w:pos="912"/>
        </w:tabs>
        <w:spacing w:before="77" w:line="261" w:lineRule="auto"/>
        <w:ind w:left="667" w:firstLine="0"/>
        <w:rPr>
          <w:sz w:val="20"/>
        </w:rPr>
      </w:pPr>
      <w:r>
        <w:rPr>
          <w:sz w:val="20"/>
        </w:rPr>
        <w:lastRenderedPageBreak/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pensionistas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obligados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presentar</w:t>
      </w:r>
      <w:r>
        <w:rPr>
          <w:spacing w:val="-5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IRPF,</w:t>
      </w:r>
      <w:r>
        <w:rPr>
          <w:spacing w:val="-4"/>
          <w:sz w:val="20"/>
        </w:rPr>
        <w:t xml:space="preserve"> </w:t>
      </w:r>
      <w:r>
        <w:rPr>
          <w:sz w:val="20"/>
        </w:rPr>
        <w:t>certificación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Tesorería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 Seguridad</w:t>
      </w:r>
      <w:r>
        <w:rPr>
          <w:spacing w:val="1"/>
          <w:sz w:val="20"/>
        </w:rPr>
        <w:t xml:space="preserve"> </w:t>
      </w:r>
      <w:r>
        <w:rPr>
          <w:sz w:val="20"/>
        </w:rPr>
        <w:t>Social.</w:t>
      </w:r>
    </w:p>
    <w:p w14:paraId="377B40FA" w14:textId="77777777" w:rsidR="00165E88" w:rsidRDefault="00000000">
      <w:pPr>
        <w:pStyle w:val="Prrafodelista"/>
        <w:numPr>
          <w:ilvl w:val="1"/>
          <w:numId w:val="1"/>
        </w:numPr>
        <w:tabs>
          <w:tab w:val="left" w:pos="901"/>
        </w:tabs>
        <w:spacing w:before="156" w:line="256" w:lineRule="auto"/>
        <w:ind w:left="667" w:right="120" w:firstLine="0"/>
        <w:rPr>
          <w:sz w:val="20"/>
        </w:rPr>
      </w:pPr>
      <w:r>
        <w:rPr>
          <w:sz w:val="20"/>
        </w:rPr>
        <w:t>Cualquier otro documento que acredite los ingresos del sujeto pasivo y, en su caso, 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2"/>
          <w:sz w:val="20"/>
        </w:rPr>
        <w:t xml:space="preserve"> </w:t>
      </w:r>
      <w:r>
        <w:rPr>
          <w:sz w:val="20"/>
        </w:rPr>
        <w:t>familiar.</w:t>
      </w:r>
    </w:p>
    <w:p w14:paraId="0E78959C" w14:textId="77777777" w:rsidR="00165E88" w:rsidRDefault="00000000">
      <w:pPr>
        <w:pStyle w:val="Prrafodelista"/>
        <w:numPr>
          <w:ilvl w:val="0"/>
          <w:numId w:val="1"/>
        </w:numPr>
        <w:tabs>
          <w:tab w:val="left" w:pos="341"/>
        </w:tabs>
        <w:spacing w:line="259" w:lineRule="auto"/>
        <w:ind w:right="118" w:firstLine="0"/>
        <w:jc w:val="both"/>
        <w:rPr>
          <w:sz w:val="20"/>
        </w:rPr>
      </w:pPr>
      <w:r>
        <w:rPr>
          <w:sz w:val="20"/>
        </w:rPr>
        <w:t xml:space="preserve">El otorgamiento de la bonificación, que será de la competencia del </w:t>
      </w:r>
      <w:proofErr w:type="gramStart"/>
      <w:r>
        <w:rPr>
          <w:sz w:val="20"/>
        </w:rPr>
        <w:t>Alcalde</w:t>
      </w:r>
      <w:proofErr w:type="gramEnd"/>
      <w:r>
        <w:rPr>
          <w:sz w:val="20"/>
        </w:rPr>
        <w:t xml:space="preserve"> de Tías o de la</w:t>
      </w:r>
      <w:r>
        <w:rPr>
          <w:spacing w:val="1"/>
          <w:sz w:val="20"/>
        </w:rPr>
        <w:t xml:space="preserve"> </w:t>
      </w:r>
      <w:r>
        <w:rPr>
          <w:sz w:val="20"/>
        </w:rPr>
        <w:t>persona u órgano en quien éste delegue, producirá sus efectos en los periodos impositivos</w:t>
      </w:r>
      <w:r>
        <w:rPr>
          <w:spacing w:val="1"/>
          <w:sz w:val="20"/>
        </w:rPr>
        <w:t xml:space="preserve"> </w:t>
      </w:r>
      <w:r>
        <w:rPr>
          <w:sz w:val="20"/>
        </w:rPr>
        <w:t>sucesivos, en tanto se continúen aportando por parte del sujeto pasivo, en el plazo señalado en</w:t>
      </w:r>
      <w:r>
        <w:rPr>
          <w:spacing w:val="-53"/>
          <w:sz w:val="20"/>
        </w:rPr>
        <w:t xml:space="preserve"> </w:t>
      </w:r>
      <w:r>
        <w:rPr>
          <w:sz w:val="20"/>
        </w:rPr>
        <w:t>el apartado anterior, los documentos acreditativos del cumplimiento de los requisitos a que se</w:t>
      </w:r>
      <w:r>
        <w:rPr>
          <w:spacing w:val="1"/>
          <w:sz w:val="20"/>
        </w:rPr>
        <w:t xml:space="preserve"> </w:t>
      </w:r>
      <w:r>
        <w:rPr>
          <w:sz w:val="20"/>
        </w:rPr>
        <w:t>condiciona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disfrute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bonificación.</w:t>
      </w:r>
    </w:p>
    <w:p w14:paraId="43102C88" w14:textId="77777777" w:rsidR="00165E88" w:rsidRDefault="00165E88">
      <w:pPr>
        <w:pStyle w:val="Textoindependiente"/>
        <w:rPr>
          <w:sz w:val="22"/>
        </w:rPr>
      </w:pPr>
    </w:p>
    <w:p w14:paraId="5E893359" w14:textId="77777777" w:rsidR="00165E88" w:rsidRDefault="00165E88">
      <w:pPr>
        <w:pStyle w:val="Textoindependiente"/>
        <w:spacing w:before="4"/>
        <w:rPr>
          <w:sz w:val="27"/>
        </w:rPr>
      </w:pPr>
    </w:p>
    <w:p w14:paraId="5083C448" w14:textId="77777777" w:rsidR="00165E88" w:rsidRDefault="00000000">
      <w:pPr>
        <w:pStyle w:val="Ttulo1"/>
      </w:pPr>
      <w:r>
        <w:rPr>
          <w:spacing w:val="-1"/>
        </w:rPr>
        <w:t>ANEXO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TARIFAS</w:t>
      </w:r>
    </w:p>
    <w:p w14:paraId="6A0DEE06" w14:textId="77777777" w:rsidR="00165E88" w:rsidRDefault="00000000">
      <w:pPr>
        <w:pStyle w:val="Textoindependiente"/>
        <w:spacing w:before="178" w:line="261" w:lineRule="auto"/>
        <w:ind w:left="101" w:right="119"/>
        <w:jc w:val="both"/>
      </w:pPr>
      <w:r>
        <w:t>J) Industrias de fabricación, elaboración, distribución, producción, tratamiento o transformación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productos (de alimentación,</w:t>
      </w:r>
      <w:r>
        <w:rPr>
          <w:spacing w:val="1"/>
        </w:rPr>
        <w:t xml:space="preserve"> </w:t>
      </w:r>
      <w:r>
        <w:t>textiles,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construcción,…</w:t>
      </w:r>
      <w:proofErr w:type="gramEnd"/>
      <w:r>
        <w:t>)</w:t>
      </w:r>
    </w:p>
    <w:p w14:paraId="33713D4A" w14:textId="77777777" w:rsidR="00165E88" w:rsidRDefault="00165E88">
      <w:pPr>
        <w:pStyle w:val="Textoindependiente"/>
      </w:pPr>
    </w:p>
    <w:p w14:paraId="1A4902F2" w14:textId="77777777" w:rsidR="00165E88" w:rsidRDefault="00000000">
      <w:pPr>
        <w:pStyle w:val="Textoindependiente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A0955E" wp14:editId="6A8F06A5">
            <wp:simplePos x="0" y="0"/>
            <wp:positionH relativeFrom="page">
              <wp:posOffset>1080516</wp:posOffset>
            </wp:positionH>
            <wp:positionV relativeFrom="paragraph">
              <wp:posOffset>212990</wp:posOffset>
            </wp:positionV>
            <wp:extent cx="5304390" cy="82143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390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BFEDD6F" wp14:editId="4B81979B">
            <wp:simplePos x="0" y="0"/>
            <wp:positionH relativeFrom="page">
              <wp:posOffset>1080516</wp:posOffset>
            </wp:positionH>
            <wp:positionV relativeFrom="paragraph">
              <wp:posOffset>1265868</wp:posOffset>
            </wp:positionV>
            <wp:extent cx="5356633" cy="136731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633" cy="1367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2C731" w14:textId="77777777" w:rsidR="00165E88" w:rsidRDefault="00165E88">
      <w:pPr>
        <w:pStyle w:val="Textoindependiente"/>
        <w:spacing w:before="9"/>
        <w:rPr>
          <w:sz w:val="25"/>
        </w:rPr>
      </w:pPr>
    </w:p>
    <w:sectPr w:rsidR="00165E88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C1CB3"/>
    <w:multiLevelType w:val="hybridMultilevel"/>
    <w:tmpl w:val="7980911C"/>
    <w:lvl w:ilvl="0" w:tplc="496AF362">
      <w:start w:val="1"/>
      <w:numFmt w:val="decimal"/>
      <w:lvlText w:val="%1."/>
      <w:lvlJc w:val="left"/>
      <w:pPr>
        <w:ind w:left="101" w:hanging="24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760CB16">
      <w:start w:val="1"/>
      <w:numFmt w:val="lowerLetter"/>
      <w:lvlText w:val="%2)"/>
      <w:lvlJc w:val="left"/>
      <w:pPr>
        <w:ind w:left="668" w:hanging="226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2" w:tplc="C0B44748">
      <w:numFmt w:val="bullet"/>
      <w:lvlText w:val="•"/>
      <w:lvlJc w:val="left"/>
      <w:pPr>
        <w:ind w:left="1556" w:hanging="226"/>
      </w:pPr>
      <w:rPr>
        <w:rFonts w:hint="default"/>
        <w:lang w:val="es-ES" w:eastAsia="en-US" w:bidi="ar-SA"/>
      </w:rPr>
    </w:lvl>
    <w:lvl w:ilvl="3" w:tplc="20107148">
      <w:numFmt w:val="bullet"/>
      <w:lvlText w:val="•"/>
      <w:lvlJc w:val="left"/>
      <w:pPr>
        <w:ind w:left="2452" w:hanging="226"/>
      </w:pPr>
      <w:rPr>
        <w:rFonts w:hint="default"/>
        <w:lang w:val="es-ES" w:eastAsia="en-US" w:bidi="ar-SA"/>
      </w:rPr>
    </w:lvl>
    <w:lvl w:ilvl="4" w:tplc="757205AC">
      <w:numFmt w:val="bullet"/>
      <w:lvlText w:val="•"/>
      <w:lvlJc w:val="left"/>
      <w:pPr>
        <w:ind w:left="3348" w:hanging="226"/>
      </w:pPr>
      <w:rPr>
        <w:rFonts w:hint="default"/>
        <w:lang w:val="es-ES" w:eastAsia="en-US" w:bidi="ar-SA"/>
      </w:rPr>
    </w:lvl>
    <w:lvl w:ilvl="5" w:tplc="0D26B802">
      <w:numFmt w:val="bullet"/>
      <w:lvlText w:val="•"/>
      <w:lvlJc w:val="left"/>
      <w:pPr>
        <w:ind w:left="4245" w:hanging="226"/>
      </w:pPr>
      <w:rPr>
        <w:rFonts w:hint="default"/>
        <w:lang w:val="es-ES" w:eastAsia="en-US" w:bidi="ar-SA"/>
      </w:rPr>
    </w:lvl>
    <w:lvl w:ilvl="6" w:tplc="CF72F646">
      <w:numFmt w:val="bullet"/>
      <w:lvlText w:val="•"/>
      <w:lvlJc w:val="left"/>
      <w:pPr>
        <w:ind w:left="5141" w:hanging="226"/>
      </w:pPr>
      <w:rPr>
        <w:rFonts w:hint="default"/>
        <w:lang w:val="es-ES" w:eastAsia="en-US" w:bidi="ar-SA"/>
      </w:rPr>
    </w:lvl>
    <w:lvl w:ilvl="7" w:tplc="680271F8">
      <w:numFmt w:val="bullet"/>
      <w:lvlText w:val="•"/>
      <w:lvlJc w:val="left"/>
      <w:pPr>
        <w:ind w:left="6037" w:hanging="226"/>
      </w:pPr>
      <w:rPr>
        <w:rFonts w:hint="default"/>
        <w:lang w:val="es-ES" w:eastAsia="en-US" w:bidi="ar-SA"/>
      </w:rPr>
    </w:lvl>
    <w:lvl w:ilvl="8" w:tplc="DBB2C942">
      <w:numFmt w:val="bullet"/>
      <w:lvlText w:val="•"/>
      <w:lvlJc w:val="left"/>
      <w:pPr>
        <w:ind w:left="6933" w:hanging="226"/>
      </w:pPr>
      <w:rPr>
        <w:rFonts w:hint="default"/>
        <w:lang w:val="es-ES" w:eastAsia="en-US" w:bidi="ar-SA"/>
      </w:rPr>
    </w:lvl>
  </w:abstractNum>
  <w:num w:numId="1" w16cid:durableId="146847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E88"/>
    <w:rsid w:val="00165E88"/>
    <w:rsid w:val="00A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DF53"/>
  <w15:docId w15:val="{13F1AFDD-EFA5-4E6C-8DCD-290FAA75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63"/>
      <w:ind w:left="101" w:right="1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- 3.-Audiencia-borrador (4)</dc:title>
  <dc:creator>emramon</dc:creator>
  <cp:lastModifiedBy>Elsa Maria Ramón Perdomo</cp:lastModifiedBy>
  <cp:revision>2</cp:revision>
  <dcterms:created xsi:type="dcterms:W3CDTF">2022-10-27T07:24:00Z</dcterms:created>
  <dcterms:modified xsi:type="dcterms:W3CDTF">2022-10-27T07:24:00Z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2022-10-27T00:00:00Z</vt:filetime>
  </property>
</Properties>
</file>