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BCB9" w14:textId="77777777" w:rsidR="00C01A24" w:rsidRDefault="00C01A24">
      <w:pPr>
        <w:pStyle w:val="Textoindependiente"/>
        <w:spacing w:before="5"/>
        <w:rPr>
          <w:sz w:val="11"/>
        </w:rPr>
      </w:pPr>
    </w:p>
    <w:p w14:paraId="2671E604" w14:textId="77777777" w:rsidR="00C01A24" w:rsidRDefault="00000000">
      <w:pPr>
        <w:pStyle w:val="Ttulo"/>
      </w:pP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Nº39.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PRESTACIÓN DEL SERVICIO DE PREVENCIÓN Y EXTINCIÓN DE</w:t>
      </w:r>
      <w:r>
        <w:rPr>
          <w:spacing w:val="1"/>
        </w:rPr>
        <w:t xml:space="preserve"> </w:t>
      </w:r>
      <w:r>
        <w:t>INCENDIOS.</w:t>
      </w:r>
    </w:p>
    <w:p w14:paraId="7A91F500" w14:textId="77777777" w:rsidR="00C01A24" w:rsidRDefault="00C01A24">
      <w:pPr>
        <w:pStyle w:val="Textoindependiente"/>
        <w:spacing w:before="3"/>
        <w:rPr>
          <w:b/>
        </w:rPr>
      </w:pPr>
    </w:p>
    <w:p w14:paraId="4C710121" w14:textId="77777777" w:rsidR="00C01A24" w:rsidRDefault="00000000">
      <w:pPr>
        <w:ind w:left="118"/>
        <w:rPr>
          <w:b/>
          <w:sz w:val="24"/>
        </w:rPr>
      </w:pPr>
      <w:r>
        <w:rPr>
          <w:b/>
          <w:sz w:val="24"/>
        </w:rPr>
        <w:t>FUNDAMENTO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LEGAL.</w:t>
      </w:r>
    </w:p>
    <w:p w14:paraId="264519D8" w14:textId="77777777" w:rsidR="00C01A24" w:rsidRDefault="00C01A24">
      <w:pPr>
        <w:pStyle w:val="Textoindependiente"/>
        <w:rPr>
          <w:b/>
        </w:rPr>
      </w:pPr>
    </w:p>
    <w:p w14:paraId="43FD388D" w14:textId="77777777" w:rsidR="00C01A24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646F6531" w14:textId="77777777" w:rsidR="00C01A24" w:rsidRDefault="00C01A24">
      <w:pPr>
        <w:pStyle w:val="Textoindependiente"/>
        <w:spacing w:before="7"/>
        <w:rPr>
          <w:b/>
          <w:sz w:val="23"/>
        </w:rPr>
      </w:pPr>
    </w:p>
    <w:p w14:paraId="2089FF31" w14:textId="77777777" w:rsidR="00C01A24" w:rsidRDefault="00000000">
      <w:pPr>
        <w:pStyle w:val="Textoindependiente"/>
        <w:ind w:left="118" w:right="109"/>
        <w:jc w:val="both"/>
      </w:pPr>
      <w:r>
        <w:t>De conformidad con lo dispuesto en el artículo 15, de la Ley 39/1988, de 28 de Diciembre,</w:t>
      </w:r>
      <w:r>
        <w:rPr>
          <w:spacing w:val="1"/>
        </w:rPr>
        <w:t xml:space="preserve"> </w:t>
      </w:r>
      <w:r>
        <w:t>reguladora de las Haciendas Locales, se establece la tasa por prestación del Servicio de</w:t>
      </w:r>
      <w:r>
        <w:rPr>
          <w:spacing w:val="1"/>
        </w:rPr>
        <w:t xml:space="preserve"> </w:t>
      </w:r>
      <w:r>
        <w:t>Prevención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Extinción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Incendios,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Ordenanza.</w:t>
      </w:r>
    </w:p>
    <w:p w14:paraId="690FADFA" w14:textId="77777777" w:rsidR="00C01A24" w:rsidRDefault="00C01A24">
      <w:pPr>
        <w:pStyle w:val="Textoindependiente"/>
        <w:spacing w:before="4"/>
      </w:pPr>
    </w:p>
    <w:p w14:paraId="19922BFC" w14:textId="77777777" w:rsidR="00C01A24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SUJETO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PASIVO.</w:t>
      </w:r>
    </w:p>
    <w:p w14:paraId="17AE260F" w14:textId="77777777" w:rsidR="00C01A24" w:rsidRDefault="00C01A24">
      <w:pPr>
        <w:pStyle w:val="Textoindependiente"/>
        <w:spacing w:before="11"/>
        <w:rPr>
          <w:b/>
          <w:sz w:val="23"/>
        </w:rPr>
      </w:pPr>
    </w:p>
    <w:p w14:paraId="0EF6DA2E" w14:textId="77777777" w:rsidR="00C01A24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2F1CCA30" w14:textId="77777777" w:rsidR="00C01A24" w:rsidRDefault="00C01A24">
      <w:pPr>
        <w:pStyle w:val="Textoindependiente"/>
        <w:spacing w:before="7"/>
        <w:rPr>
          <w:b/>
          <w:sz w:val="23"/>
        </w:rPr>
      </w:pPr>
    </w:p>
    <w:p w14:paraId="7E85651B" w14:textId="77777777" w:rsidR="00C01A24" w:rsidRDefault="00000000">
      <w:pPr>
        <w:pStyle w:val="Textoindependiente"/>
        <w:ind w:left="118" w:right="107"/>
        <w:jc w:val="both"/>
      </w:pPr>
      <w:r>
        <w:t>Se hallan obligados al pago de la tasa, en concepto de contribuyentes, las personas físicas o</w:t>
      </w:r>
      <w:r>
        <w:rPr>
          <w:spacing w:val="1"/>
        </w:rPr>
        <w:t xml:space="preserve"> </w:t>
      </w:r>
      <w:r>
        <w:t>jurídicas y las Entidades a que se refiere el artículo 33 de la Ley General Tributaria, a cuyo</w:t>
      </w:r>
      <w:r>
        <w:rPr>
          <w:spacing w:val="1"/>
        </w:rPr>
        <w:t xml:space="preserve"> </w:t>
      </w:r>
      <w:r>
        <w:t>favor se otorgue la Licencia, o quienes se beneficien del aprovechamiento, siendo sustituto la</w:t>
      </w:r>
      <w:r>
        <w:rPr>
          <w:spacing w:val="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o sociedad</w:t>
      </w:r>
      <w:r>
        <w:rPr>
          <w:spacing w:val="2"/>
        </w:rPr>
        <w:t xml:space="preserve"> </w:t>
      </w:r>
      <w:r>
        <w:t>aseguradora</w:t>
      </w:r>
      <w:r>
        <w:rPr>
          <w:spacing w:val="-2"/>
        </w:rPr>
        <w:t xml:space="preserve"> </w:t>
      </w:r>
      <w:r>
        <w:t>del riesgo objeto del</w:t>
      </w:r>
      <w:r>
        <w:rPr>
          <w:spacing w:val="-1"/>
        </w:rPr>
        <w:t xml:space="preserve"> </w:t>
      </w:r>
      <w:r>
        <w:t>siniestro.</w:t>
      </w:r>
    </w:p>
    <w:p w14:paraId="5E84BC8F" w14:textId="77777777" w:rsidR="00C01A24" w:rsidRDefault="00C01A24">
      <w:pPr>
        <w:pStyle w:val="Textoindependiente"/>
        <w:spacing w:before="5"/>
      </w:pPr>
    </w:p>
    <w:p w14:paraId="2542AE9D" w14:textId="77777777" w:rsidR="00C01A24" w:rsidRDefault="00000000">
      <w:pPr>
        <w:ind w:left="118"/>
        <w:rPr>
          <w:b/>
          <w:sz w:val="24"/>
        </w:rPr>
      </w:pPr>
      <w:r>
        <w:rPr>
          <w:b/>
          <w:sz w:val="24"/>
        </w:rPr>
        <w:t>TARIFAS.</w:t>
      </w:r>
    </w:p>
    <w:p w14:paraId="0A318FC2" w14:textId="77777777" w:rsidR="00C01A24" w:rsidRDefault="00C01A24">
      <w:pPr>
        <w:pStyle w:val="Textoindependiente"/>
        <w:rPr>
          <w:b/>
        </w:rPr>
      </w:pPr>
    </w:p>
    <w:p w14:paraId="2A64CD56" w14:textId="77777777" w:rsidR="00C01A24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78261722" w14:textId="77777777" w:rsidR="00C01A24" w:rsidRDefault="00C01A24">
      <w:pPr>
        <w:pStyle w:val="Textoindependiente"/>
        <w:spacing w:before="6"/>
        <w:rPr>
          <w:b/>
          <w:sz w:val="23"/>
        </w:rPr>
      </w:pPr>
    </w:p>
    <w:p w14:paraId="68526AB6" w14:textId="77777777" w:rsidR="00C01A24" w:rsidRDefault="00000000">
      <w:pPr>
        <w:pStyle w:val="Textoindependiente"/>
        <w:spacing w:before="1"/>
        <w:ind w:left="118"/>
        <w:jc w:val="both"/>
      </w:pPr>
      <w:r>
        <w:t>La</w:t>
      </w:r>
      <w:r>
        <w:rPr>
          <w:spacing w:val="-1"/>
        </w:rPr>
        <w:t xml:space="preserve"> </w:t>
      </w:r>
      <w:r>
        <w:t>cuantía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14:paraId="3CD4AF98" w14:textId="77777777" w:rsidR="00C01A24" w:rsidRDefault="00000000">
      <w:pPr>
        <w:pStyle w:val="Textoindependiente"/>
        <w:ind w:left="118" w:right="112"/>
        <w:jc w:val="both"/>
      </w:pPr>
      <w:r>
        <w:t>La base para el cálculo de la presente exacción será el tiempo empleado para eliminar el</w:t>
      </w:r>
      <w:r>
        <w:rPr>
          <w:spacing w:val="1"/>
        </w:rPr>
        <w:t xml:space="preserve"> </w:t>
      </w:r>
      <w:r>
        <w:t>siniestro y, el valor del material empleado pro la prestación del Servicio, independientemente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establecida, con</w:t>
      </w:r>
      <w:r>
        <w:rPr>
          <w:spacing w:val="2"/>
        </w:rPr>
        <w:t xml:space="preserve"> </w:t>
      </w:r>
      <w:r>
        <w:t>carácter general.</w:t>
      </w:r>
    </w:p>
    <w:p w14:paraId="46612E23" w14:textId="77777777" w:rsidR="00C01A24" w:rsidRDefault="00C01A24">
      <w:pPr>
        <w:pStyle w:val="Textoindependiente"/>
      </w:pPr>
    </w:p>
    <w:p w14:paraId="1933DF57" w14:textId="77777777" w:rsidR="00C01A24" w:rsidRDefault="00000000">
      <w:pPr>
        <w:pStyle w:val="Prrafodelista"/>
        <w:numPr>
          <w:ilvl w:val="0"/>
          <w:numId w:val="3"/>
        </w:numPr>
        <w:tabs>
          <w:tab w:val="left" w:pos="925"/>
          <w:tab w:val="left" w:pos="5073"/>
        </w:tabs>
        <w:ind w:hanging="241"/>
        <w:rPr>
          <w:sz w:val="24"/>
        </w:rPr>
      </w:pPr>
      <w:r>
        <w:rPr>
          <w:sz w:val="24"/>
        </w:rPr>
        <w:t>Cuota</w:t>
      </w:r>
      <w:r>
        <w:rPr>
          <w:spacing w:val="-3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z w:val="24"/>
        </w:rPr>
        <w:tab/>
        <w:t>18,03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14:paraId="760BD249" w14:textId="77777777" w:rsidR="00C01A24" w:rsidRDefault="00000000">
      <w:pPr>
        <w:pStyle w:val="Prrafodelista"/>
        <w:numPr>
          <w:ilvl w:val="0"/>
          <w:numId w:val="3"/>
        </w:numPr>
        <w:tabs>
          <w:tab w:val="left" w:pos="925"/>
        </w:tabs>
        <w:ind w:hanging="241"/>
        <w:rPr>
          <w:sz w:val="24"/>
        </w:rPr>
      </w:pPr>
      <w:r>
        <w:rPr>
          <w:sz w:val="24"/>
        </w:rPr>
        <w:t>Tarifas:</w:t>
      </w:r>
    </w:p>
    <w:p w14:paraId="3E8F37E0" w14:textId="77777777" w:rsidR="00C01A24" w:rsidRDefault="00C01A24">
      <w:pPr>
        <w:pStyle w:val="Textoindependiente"/>
        <w:spacing w:before="4"/>
      </w:pPr>
    </w:p>
    <w:p w14:paraId="175F61DF" w14:textId="77777777" w:rsidR="00C01A24" w:rsidRDefault="00000000">
      <w:pPr>
        <w:tabs>
          <w:tab w:val="left" w:pos="5031"/>
        </w:tabs>
        <w:spacing w:before="1"/>
        <w:ind w:left="118"/>
        <w:rPr>
          <w:b/>
          <w:sz w:val="24"/>
        </w:rPr>
      </w:pPr>
      <w:r>
        <w:rPr>
          <w:b/>
          <w:sz w:val="24"/>
        </w:rPr>
        <w:t>HORAS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FRACCION</w:t>
      </w:r>
      <w:r>
        <w:rPr>
          <w:b/>
          <w:sz w:val="24"/>
        </w:rPr>
        <w:tab/>
        <w:t>IMPORTE</w:t>
      </w:r>
    </w:p>
    <w:p w14:paraId="413A6527" w14:textId="77777777" w:rsidR="00C01A24" w:rsidRDefault="00C01A24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2234"/>
        <w:gridCol w:w="3014"/>
      </w:tblGrid>
      <w:tr w:rsidR="00C01A24" w14:paraId="2146175A" w14:textId="77777777">
        <w:trPr>
          <w:trHeight w:val="270"/>
        </w:trPr>
        <w:tc>
          <w:tcPr>
            <w:tcW w:w="2234" w:type="dxa"/>
          </w:tcPr>
          <w:p w14:paraId="78476B65" w14:textId="77777777" w:rsidR="00C01A24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14" w:type="dxa"/>
          </w:tcPr>
          <w:p w14:paraId="66F006E9" w14:textId="77777777" w:rsidR="00C01A24" w:rsidRDefault="00000000">
            <w:pPr>
              <w:pStyle w:val="TableParagraph"/>
              <w:spacing w:line="251" w:lineRule="exact"/>
              <w:ind w:left="2063"/>
              <w:rPr>
                <w:sz w:val="24"/>
              </w:rPr>
            </w:pPr>
            <w:r>
              <w:rPr>
                <w:sz w:val="24"/>
              </w:rPr>
              <w:t>34,32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24D9FBC9" w14:textId="77777777">
        <w:trPr>
          <w:trHeight w:val="275"/>
        </w:trPr>
        <w:tc>
          <w:tcPr>
            <w:tcW w:w="2234" w:type="dxa"/>
          </w:tcPr>
          <w:p w14:paraId="18FA9118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14" w:type="dxa"/>
          </w:tcPr>
          <w:p w14:paraId="5F9CFE70" w14:textId="77777777" w:rsidR="00C01A24" w:rsidRDefault="00000000">
            <w:pPr>
              <w:pStyle w:val="TableParagraph"/>
              <w:ind w:left="2063"/>
              <w:rPr>
                <w:sz w:val="24"/>
              </w:rPr>
            </w:pPr>
            <w:r>
              <w:rPr>
                <w:sz w:val="24"/>
              </w:rPr>
              <w:t>68,65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16F9C25A" w14:textId="77777777">
        <w:trPr>
          <w:trHeight w:val="275"/>
        </w:trPr>
        <w:tc>
          <w:tcPr>
            <w:tcW w:w="2234" w:type="dxa"/>
          </w:tcPr>
          <w:p w14:paraId="599D137A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14" w:type="dxa"/>
          </w:tcPr>
          <w:p w14:paraId="7A0117C4" w14:textId="77777777" w:rsidR="00C01A24" w:rsidRDefault="00000000">
            <w:pPr>
              <w:pStyle w:val="TableParagraph"/>
              <w:ind w:left="2063"/>
              <w:rPr>
                <w:sz w:val="24"/>
              </w:rPr>
            </w:pPr>
            <w:r>
              <w:rPr>
                <w:sz w:val="24"/>
              </w:rPr>
              <w:t>102,97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3246BF04" w14:textId="77777777">
        <w:trPr>
          <w:trHeight w:val="275"/>
        </w:trPr>
        <w:tc>
          <w:tcPr>
            <w:tcW w:w="2234" w:type="dxa"/>
          </w:tcPr>
          <w:p w14:paraId="06A1ABD3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014" w:type="dxa"/>
          </w:tcPr>
          <w:p w14:paraId="034968D1" w14:textId="77777777" w:rsidR="00C01A24" w:rsidRDefault="00000000">
            <w:pPr>
              <w:pStyle w:val="TableParagraph"/>
              <w:ind w:left="2063"/>
              <w:rPr>
                <w:sz w:val="24"/>
              </w:rPr>
            </w:pPr>
            <w:r>
              <w:rPr>
                <w:sz w:val="24"/>
              </w:rPr>
              <w:t>137,30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4C2307FA" w14:textId="77777777">
        <w:trPr>
          <w:trHeight w:val="275"/>
        </w:trPr>
        <w:tc>
          <w:tcPr>
            <w:tcW w:w="2234" w:type="dxa"/>
          </w:tcPr>
          <w:p w14:paraId="5F1AD2EC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14" w:type="dxa"/>
          </w:tcPr>
          <w:p w14:paraId="231A89BE" w14:textId="77777777" w:rsidR="00C01A24" w:rsidRDefault="00000000">
            <w:pPr>
              <w:pStyle w:val="TableParagraph"/>
              <w:ind w:left="2063"/>
              <w:rPr>
                <w:sz w:val="24"/>
              </w:rPr>
            </w:pPr>
            <w:r>
              <w:rPr>
                <w:sz w:val="24"/>
              </w:rPr>
              <w:t>171,62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0975F002" w14:textId="77777777">
        <w:trPr>
          <w:trHeight w:val="270"/>
        </w:trPr>
        <w:tc>
          <w:tcPr>
            <w:tcW w:w="2234" w:type="dxa"/>
          </w:tcPr>
          <w:p w14:paraId="76F5E65F" w14:textId="77777777" w:rsidR="00C01A24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014" w:type="dxa"/>
          </w:tcPr>
          <w:p w14:paraId="5293C192" w14:textId="77777777" w:rsidR="00C01A24" w:rsidRDefault="00000000">
            <w:pPr>
              <w:pStyle w:val="TableParagraph"/>
              <w:spacing w:line="251" w:lineRule="exact"/>
              <w:ind w:left="2063"/>
              <w:rPr>
                <w:sz w:val="24"/>
              </w:rPr>
            </w:pPr>
            <w:r>
              <w:rPr>
                <w:sz w:val="24"/>
              </w:rPr>
              <w:t>205,94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</w:tbl>
    <w:p w14:paraId="0C853AC5" w14:textId="77777777" w:rsidR="00C01A24" w:rsidRDefault="00C01A24">
      <w:pPr>
        <w:spacing w:line="251" w:lineRule="exact"/>
        <w:rPr>
          <w:sz w:val="24"/>
        </w:rPr>
        <w:sectPr w:rsidR="00C01A24">
          <w:headerReference w:type="default" r:id="rId7"/>
          <w:type w:val="continuous"/>
          <w:pgSz w:w="11900" w:h="16840"/>
          <w:pgMar w:top="3360" w:right="1300" w:bottom="280" w:left="1300" w:header="698" w:footer="720" w:gutter="0"/>
          <w:pgNumType w:start="1"/>
          <w:cols w:space="720"/>
        </w:sectPr>
      </w:pPr>
    </w:p>
    <w:p w14:paraId="6E2C5A53" w14:textId="77777777" w:rsidR="00C01A24" w:rsidRDefault="00C01A24">
      <w:pPr>
        <w:pStyle w:val="Textoindependiente"/>
        <w:spacing w:before="10"/>
        <w:rPr>
          <w:b/>
          <w:sz w:val="10"/>
        </w:rPr>
      </w:pPr>
    </w:p>
    <w:p w14:paraId="36921C49" w14:textId="77777777" w:rsidR="00C01A24" w:rsidRDefault="00000000">
      <w:pPr>
        <w:pStyle w:val="Textoindependiente"/>
        <w:spacing w:before="90"/>
        <w:ind w:left="118" w:right="108"/>
        <w:jc w:val="both"/>
      </w:pPr>
      <w:r>
        <w:t>Las tarifas anteriores se aplican a una unidad completa del Servicio (coche extintor con sus</w:t>
      </w:r>
      <w:r>
        <w:rPr>
          <w:spacing w:val="1"/>
        </w:rPr>
        <w:t xml:space="preserve"> </w:t>
      </w:r>
      <w:r>
        <w:t>accesorios) y serán incrementadas en un 50% por cada unidad complementaria, aplicándose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adicional</w:t>
      </w:r>
      <w:r>
        <w:rPr>
          <w:spacing w:val="-1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imputación</w:t>
      </w:r>
      <w:r>
        <w:rPr>
          <w:spacing w:val="-2"/>
        </w:rPr>
        <w:t xml:space="preserve"> </w:t>
      </w:r>
      <w:r>
        <w:t>individualizada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servicio:</w:t>
      </w:r>
    </w:p>
    <w:p w14:paraId="1E53F95C" w14:textId="77777777" w:rsidR="00C01A24" w:rsidRDefault="00C01A24">
      <w:pPr>
        <w:pStyle w:val="Textoindependiente"/>
        <w:spacing w:before="10"/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4898"/>
        <w:gridCol w:w="1081"/>
      </w:tblGrid>
      <w:tr w:rsidR="00C01A24" w14:paraId="68097381" w14:textId="77777777">
        <w:trPr>
          <w:trHeight w:val="270"/>
        </w:trPr>
        <w:tc>
          <w:tcPr>
            <w:tcW w:w="4898" w:type="dxa"/>
          </w:tcPr>
          <w:p w14:paraId="1691F3EC" w14:textId="77777777" w:rsidR="00C01A24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abasto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consumida</w:t>
            </w:r>
          </w:p>
        </w:tc>
        <w:tc>
          <w:tcPr>
            <w:tcW w:w="1081" w:type="dxa"/>
          </w:tcPr>
          <w:p w14:paraId="784772BB" w14:textId="77777777" w:rsidR="00C01A24" w:rsidRDefault="00000000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z w:val="24"/>
              </w:rPr>
              <w:t>1,20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633ADD68" w14:textId="77777777">
        <w:trPr>
          <w:trHeight w:val="275"/>
        </w:trPr>
        <w:tc>
          <w:tcPr>
            <w:tcW w:w="4898" w:type="dxa"/>
          </w:tcPr>
          <w:p w14:paraId="4DA11A91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kilo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expansión</w:t>
            </w:r>
          </w:p>
        </w:tc>
        <w:tc>
          <w:tcPr>
            <w:tcW w:w="1081" w:type="dxa"/>
          </w:tcPr>
          <w:p w14:paraId="38850C6F" w14:textId="77777777" w:rsidR="00C01A24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2,55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48B0329D" w14:textId="77777777">
        <w:trPr>
          <w:trHeight w:val="275"/>
        </w:trPr>
        <w:tc>
          <w:tcPr>
            <w:tcW w:w="4898" w:type="dxa"/>
          </w:tcPr>
          <w:p w14:paraId="644CCBE0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kilo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expansión</w:t>
            </w:r>
          </w:p>
        </w:tc>
        <w:tc>
          <w:tcPr>
            <w:tcW w:w="1081" w:type="dxa"/>
          </w:tcPr>
          <w:p w14:paraId="71363C32" w14:textId="77777777" w:rsidR="00C01A24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3,19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763FA2F0" w14:textId="77777777">
        <w:trPr>
          <w:trHeight w:val="275"/>
        </w:trPr>
        <w:tc>
          <w:tcPr>
            <w:tcW w:w="4898" w:type="dxa"/>
          </w:tcPr>
          <w:p w14:paraId="2A9292F8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FC-206</w:t>
            </w:r>
          </w:p>
        </w:tc>
        <w:tc>
          <w:tcPr>
            <w:tcW w:w="1081" w:type="dxa"/>
          </w:tcPr>
          <w:p w14:paraId="541CF714" w14:textId="77777777" w:rsidR="00C01A24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4,03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34674047" w14:textId="77777777">
        <w:trPr>
          <w:trHeight w:val="275"/>
        </w:trPr>
        <w:tc>
          <w:tcPr>
            <w:tcW w:w="4898" w:type="dxa"/>
          </w:tcPr>
          <w:p w14:paraId="025AC7E1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extintores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polvo</w:t>
            </w:r>
          </w:p>
        </w:tc>
        <w:tc>
          <w:tcPr>
            <w:tcW w:w="1081" w:type="dxa"/>
          </w:tcPr>
          <w:p w14:paraId="6FB2AB6C" w14:textId="77777777" w:rsidR="00C01A24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19,83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352973CA" w14:textId="77777777">
        <w:trPr>
          <w:trHeight w:val="275"/>
        </w:trPr>
        <w:tc>
          <w:tcPr>
            <w:tcW w:w="4898" w:type="dxa"/>
          </w:tcPr>
          <w:p w14:paraId="7819BFE0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extintores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1081" w:type="dxa"/>
          </w:tcPr>
          <w:p w14:paraId="0EE2FDA6" w14:textId="77777777" w:rsidR="00C01A24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24,04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768B532C" w14:textId="77777777">
        <w:trPr>
          <w:trHeight w:val="275"/>
        </w:trPr>
        <w:tc>
          <w:tcPr>
            <w:tcW w:w="4898" w:type="dxa"/>
          </w:tcPr>
          <w:p w14:paraId="124BE5DA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extintores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1081" w:type="dxa"/>
          </w:tcPr>
          <w:p w14:paraId="04BD8B08" w14:textId="77777777" w:rsidR="00C01A24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19,83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1473851E" w14:textId="77777777">
        <w:trPr>
          <w:trHeight w:val="275"/>
        </w:trPr>
        <w:tc>
          <w:tcPr>
            <w:tcW w:w="4898" w:type="dxa"/>
          </w:tcPr>
          <w:p w14:paraId="5A02B1B3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extintores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polvo seco,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1081" w:type="dxa"/>
          </w:tcPr>
          <w:p w14:paraId="3467FD77" w14:textId="77777777" w:rsidR="00C01A24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12,02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77A800A6" w14:textId="77777777">
        <w:trPr>
          <w:trHeight w:val="275"/>
        </w:trPr>
        <w:tc>
          <w:tcPr>
            <w:tcW w:w="4898" w:type="dxa"/>
          </w:tcPr>
          <w:p w14:paraId="2EC67CEF" w14:textId="77777777" w:rsidR="00C01A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extintores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1081" w:type="dxa"/>
          </w:tcPr>
          <w:p w14:paraId="0FB396AC" w14:textId="77777777" w:rsidR="00C01A24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12,02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C01A24" w14:paraId="4C895AAB" w14:textId="77777777">
        <w:trPr>
          <w:trHeight w:val="270"/>
        </w:trPr>
        <w:tc>
          <w:tcPr>
            <w:tcW w:w="4898" w:type="dxa"/>
          </w:tcPr>
          <w:p w14:paraId="032DDB0B" w14:textId="77777777" w:rsidR="00C01A24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Oxígeno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m³</w:t>
            </w:r>
          </w:p>
        </w:tc>
        <w:tc>
          <w:tcPr>
            <w:tcW w:w="1081" w:type="dxa"/>
          </w:tcPr>
          <w:p w14:paraId="1138D67E" w14:textId="77777777" w:rsidR="00C01A24" w:rsidRDefault="00000000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z w:val="24"/>
              </w:rPr>
              <w:t>6,01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</w:tbl>
    <w:p w14:paraId="4C683A1F" w14:textId="77777777" w:rsidR="00C01A24" w:rsidRDefault="00C01A24">
      <w:pPr>
        <w:pStyle w:val="Textoindependiente"/>
      </w:pPr>
    </w:p>
    <w:p w14:paraId="558A9598" w14:textId="77777777" w:rsidR="00C01A24" w:rsidRDefault="00000000">
      <w:pPr>
        <w:pStyle w:val="Textoindependiente"/>
        <w:ind w:left="118" w:right="108"/>
        <w:jc w:val="both"/>
      </w:pP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experimentan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alteración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incremento repercutirá en las</w:t>
      </w:r>
      <w:r>
        <w:rPr>
          <w:spacing w:val="-1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tasa.</w:t>
      </w:r>
    </w:p>
    <w:p w14:paraId="4099DC5C" w14:textId="77777777" w:rsidR="00C01A24" w:rsidRDefault="00C01A24">
      <w:pPr>
        <w:pStyle w:val="Textoindependiente"/>
        <w:spacing w:before="4"/>
      </w:pPr>
    </w:p>
    <w:p w14:paraId="69A77DBA" w14:textId="77777777" w:rsidR="00C01A24" w:rsidRDefault="00000000">
      <w:pPr>
        <w:spacing w:before="1"/>
        <w:ind w:left="118"/>
        <w:jc w:val="both"/>
        <w:rPr>
          <w:b/>
          <w:sz w:val="24"/>
        </w:rPr>
      </w:pPr>
      <w:r>
        <w:rPr>
          <w:b/>
          <w:sz w:val="24"/>
        </w:rPr>
        <w:t>OBLIGACIÓN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PAGO.</w:t>
      </w:r>
    </w:p>
    <w:p w14:paraId="598F2D46" w14:textId="77777777" w:rsidR="00C01A24" w:rsidRDefault="00C01A24">
      <w:pPr>
        <w:pStyle w:val="Textoindependiente"/>
        <w:spacing w:before="11"/>
        <w:rPr>
          <w:b/>
          <w:sz w:val="23"/>
        </w:rPr>
      </w:pPr>
    </w:p>
    <w:p w14:paraId="64C8B510" w14:textId="77777777" w:rsidR="00C01A24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02D71077" w14:textId="77777777" w:rsidR="00C01A24" w:rsidRDefault="00C01A24">
      <w:pPr>
        <w:pStyle w:val="Textoindependiente"/>
        <w:spacing w:before="7"/>
        <w:rPr>
          <w:b/>
          <w:sz w:val="23"/>
        </w:rPr>
      </w:pPr>
    </w:p>
    <w:p w14:paraId="0F9F5D0E" w14:textId="77777777" w:rsidR="00C01A24" w:rsidRDefault="00000000">
      <w:pPr>
        <w:pStyle w:val="Textoindependiente"/>
        <w:ind w:left="118"/>
      </w:pPr>
      <w:r>
        <w:t>La</w:t>
      </w:r>
      <w:r>
        <w:rPr>
          <w:spacing w:val="-3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nace:</w:t>
      </w:r>
    </w:p>
    <w:p w14:paraId="6FC1A1ED" w14:textId="77777777" w:rsidR="00C01A24" w:rsidRDefault="00000000">
      <w:pPr>
        <w:pStyle w:val="Prrafodelista"/>
        <w:numPr>
          <w:ilvl w:val="0"/>
          <w:numId w:val="2"/>
        </w:numPr>
        <w:tabs>
          <w:tab w:val="left" w:pos="925"/>
        </w:tabs>
        <w:ind w:hanging="241"/>
        <w:rPr>
          <w:sz w:val="24"/>
        </w:rPr>
      </w:pPr>
      <w:r>
        <w:rPr>
          <w:sz w:val="24"/>
        </w:rPr>
        <w:t>Tratándose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nuevas concesiones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licencias;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solicitud.</w:t>
      </w:r>
    </w:p>
    <w:p w14:paraId="726DE8A5" w14:textId="77777777" w:rsidR="00C01A24" w:rsidRDefault="00000000">
      <w:pPr>
        <w:pStyle w:val="Prrafodelista"/>
        <w:numPr>
          <w:ilvl w:val="0"/>
          <w:numId w:val="2"/>
        </w:numPr>
        <w:tabs>
          <w:tab w:val="left" w:pos="930"/>
        </w:tabs>
        <w:ind w:left="684" w:right="108" w:firstLine="0"/>
        <w:rPr>
          <w:sz w:val="24"/>
        </w:rPr>
      </w:pPr>
      <w:r>
        <w:rPr>
          <w:sz w:val="24"/>
        </w:rPr>
        <w:t>Tratándose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concesiones</w:t>
      </w:r>
      <w:r>
        <w:rPr>
          <w:spacing w:val="5"/>
          <w:sz w:val="24"/>
        </w:rPr>
        <w:t xml:space="preserve"> </w:t>
      </w:r>
      <w:r>
        <w:rPr>
          <w:sz w:val="24"/>
        </w:rPr>
        <w:t>ya</w:t>
      </w:r>
      <w:r>
        <w:rPr>
          <w:spacing w:val="5"/>
          <w:sz w:val="24"/>
        </w:rPr>
        <w:t xml:space="preserve"> </w:t>
      </w:r>
      <w:r>
        <w:rPr>
          <w:sz w:val="24"/>
        </w:rPr>
        <w:t>autorizadas;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día</w:t>
      </w:r>
      <w:r>
        <w:rPr>
          <w:spacing w:val="2"/>
          <w:sz w:val="24"/>
        </w:rPr>
        <w:t xml:space="preserve"> </w:t>
      </w:r>
      <w:r>
        <w:rPr>
          <w:sz w:val="24"/>
        </w:rPr>
        <w:t>primero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uno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períodos</w:t>
      </w:r>
      <w:r>
        <w:rPr>
          <w:spacing w:val="-57"/>
          <w:sz w:val="24"/>
        </w:rPr>
        <w:t xml:space="preserve"> </w:t>
      </w:r>
      <w:r>
        <w:rPr>
          <w:sz w:val="24"/>
        </w:rPr>
        <w:t>naturales</w:t>
      </w:r>
      <w:r>
        <w:rPr>
          <w:spacing w:val="-1"/>
          <w:sz w:val="24"/>
        </w:rPr>
        <w:t xml:space="preserve"> </w:t>
      </w:r>
      <w:r>
        <w:rPr>
          <w:sz w:val="24"/>
        </w:rPr>
        <w:t>señalados al efecto.</w:t>
      </w:r>
    </w:p>
    <w:p w14:paraId="7D830357" w14:textId="77777777" w:rsidR="00C01A24" w:rsidRDefault="00C01A24">
      <w:pPr>
        <w:pStyle w:val="Textoindependiente"/>
      </w:pPr>
    </w:p>
    <w:p w14:paraId="2624151F" w14:textId="77777777" w:rsidR="00C01A24" w:rsidRDefault="00000000">
      <w:pPr>
        <w:pStyle w:val="Textoindependiente"/>
        <w:ind w:left="118"/>
      </w:pP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efectuará:</w:t>
      </w:r>
    </w:p>
    <w:p w14:paraId="514B0B1F" w14:textId="77777777" w:rsidR="00C01A24" w:rsidRDefault="00C01A24">
      <w:pPr>
        <w:pStyle w:val="Textoindependiente"/>
      </w:pPr>
    </w:p>
    <w:p w14:paraId="46F67B54" w14:textId="77777777" w:rsidR="00C01A24" w:rsidRDefault="00000000">
      <w:pPr>
        <w:pStyle w:val="Prrafodelista"/>
        <w:numPr>
          <w:ilvl w:val="0"/>
          <w:numId w:val="1"/>
        </w:numPr>
        <w:tabs>
          <w:tab w:val="left" w:pos="952"/>
        </w:tabs>
        <w:ind w:right="111" w:firstLine="0"/>
        <w:jc w:val="both"/>
        <w:rPr>
          <w:sz w:val="24"/>
        </w:rPr>
      </w:pPr>
      <w:r>
        <w:rPr>
          <w:sz w:val="24"/>
        </w:rPr>
        <w:t>Para nuevas concesiones o licencias; por ingreso directo en la Caja de la Tesorería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con anterioridad a la entrega de la correspondiente autorización. El ingreso</w:t>
      </w:r>
      <w:r>
        <w:rPr>
          <w:spacing w:val="1"/>
          <w:sz w:val="24"/>
        </w:rPr>
        <w:t xml:space="preserve"> </w:t>
      </w:r>
      <w:r>
        <w:rPr>
          <w:sz w:val="24"/>
        </w:rPr>
        <w:t>efectuado tendrá, de conformidad con el artículo 47.1, de la Ley 39/1.988, de 28 de</w:t>
      </w:r>
      <w:r>
        <w:rPr>
          <w:spacing w:val="1"/>
          <w:sz w:val="24"/>
        </w:rPr>
        <w:t xml:space="preserve"> </w:t>
      </w:r>
      <w:r>
        <w:rPr>
          <w:sz w:val="24"/>
        </w:rPr>
        <w:t>diciembre,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depósito</w:t>
      </w:r>
      <w:r>
        <w:rPr>
          <w:spacing w:val="1"/>
          <w:sz w:val="24"/>
        </w:rPr>
        <w:t xml:space="preserve"> </w:t>
      </w:r>
      <w:r>
        <w:rPr>
          <w:sz w:val="24"/>
        </w:rPr>
        <w:t>previo,</w:t>
      </w:r>
      <w:r>
        <w:rPr>
          <w:spacing w:val="1"/>
          <w:sz w:val="24"/>
        </w:rPr>
        <w:t xml:space="preserve"> </w:t>
      </w:r>
      <w:r>
        <w:rPr>
          <w:sz w:val="24"/>
        </w:rPr>
        <w:t>elevándose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concederse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autorización.</w:t>
      </w:r>
    </w:p>
    <w:p w14:paraId="78E621E6" w14:textId="77777777" w:rsidR="00C01A24" w:rsidRDefault="00000000">
      <w:pPr>
        <w:pStyle w:val="Prrafodelista"/>
        <w:numPr>
          <w:ilvl w:val="0"/>
          <w:numId w:val="1"/>
        </w:numPr>
        <w:tabs>
          <w:tab w:val="left" w:pos="947"/>
        </w:tabs>
        <w:ind w:right="108" w:firstLine="0"/>
        <w:jc w:val="both"/>
        <w:rPr>
          <w:sz w:val="24"/>
        </w:rPr>
      </w:pPr>
      <w:r>
        <w:rPr>
          <w:sz w:val="24"/>
        </w:rPr>
        <w:t>Para concesiones o licencias ya autorizadas y prorrogadas; una vez incluidos en los</w:t>
      </w:r>
      <w:r>
        <w:rPr>
          <w:spacing w:val="1"/>
          <w:sz w:val="24"/>
        </w:rPr>
        <w:t xml:space="preserve"> </w:t>
      </w:r>
      <w:r>
        <w:rPr>
          <w:sz w:val="24"/>
        </w:rPr>
        <w:t>padrones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matrículas,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año natural,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Oficinas de</w:t>
      </w:r>
      <w:r>
        <w:rPr>
          <w:spacing w:val="-2"/>
          <w:sz w:val="24"/>
        </w:rPr>
        <w:t xml:space="preserve"> </w:t>
      </w:r>
      <w:r>
        <w:rPr>
          <w:sz w:val="24"/>
        </w:rPr>
        <w:t>Recaudación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2FAF7356" w14:textId="77777777" w:rsidR="00C01A24" w:rsidRDefault="00C01A24">
      <w:pPr>
        <w:pStyle w:val="Textoindependiente"/>
        <w:spacing w:before="5"/>
      </w:pPr>
    </w:p>
    <w:p w14:paraId="78E86A9A" w14:textId="77777777" w:rsidR="00C01A24" w:rsidRDefault="00000000">
      <w:pPr>
        <w:ind w:left="118"/>
        <w:rPr>
          <w:b/>
          <w:sz w:val="24"/>
        </w:rPr>
      </w:pPr>
      <w:r>
        <w:rPr>
          <w:b/>
          <w:sz w:val="24"/>
        </w:rPr>
        <w:t>EXENCIÓN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BONIFICACIONES.</w:t>
      </w:r>
    </w:p>
    <w:p w14:paraId="074E9746" w14:textId="77777777" w:rsidR="00C01A24" w:rsidRDefault="00C01A24">
      <w:pPr>
        <w:pStyle w:val="Textoindependiente"/>
        <w:rPr>
          <w:b/>
        </w:rPr>
      </w:pPr>
    </w:p>
    <w:p w14:paraId="6D0E1FAF" w14:textId="77777777" w:rsidR="00C01A24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51E272CF" w14:textId="77777777" w:rsidR="00C01A24" w:rsidRDefault="00C01A24">
      <w:pPr>
        <w:pStyle w:val="Textoindependiente"/>
        <w:spacing w:before="7"/>
        <w:rPr>
          <w:b/>
          <w:sz w:val="23"/>
        </w:rPr>
      </w:pPr>
    </w:p>
    <w:p w14:paraId="775B6150" w14:textId="77777777" w:rsidR="00C01A24" w:rsidRDefault="00000000">
      <w:pPr>
        <w:pStyle w:val="Textoindependiente"/>
        <w:ind w:left="118"/>
      </w:pPr>
      <w:r>
        <w:t>Estarán</w:t>
      </w:r>
      <w:r>
        <w:rPr>
          <w:spacing w:val="28"/>
        </w:rPr>
        <w:t xml:space="preserve"> </w:t>
      </w:r>
      <w:r>
        <w:t>exentos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contribuyentes</w:t>
      </w:r>
      <w:r>
        <w:rPr>
          <w:spacing w:val="29"/>
        </w:rPr>
        <w:t xml:space="preserve"> </w:t>
      </w:r>
      <w:r>
        <w:t>afectos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beneficencia</w:t>
      </w:r>
      <w:r>
        <w:rPr>
          <w:spacing w:val="28"/>
        </w:rPr>
        <w:t xml:space="preserve"> </w:t>
      </w:r>
      <w:r>
        <w:t>municipal</w:t>
      </w:r>
      <w:r>
        <w:rPr>
          <w:spacing w:val="3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intervenciones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urgente y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único objetivo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salvamento de</w:t>
      </w:r>
      <w:r>
        <w:rPr>
          <w:spacing w:val="-2"/>
        </w:rPr>
        <w:t xml:space="preserve"> </w:t>
      </w:r>
      <w:r>
        <w:t>personas en</w:t>
      </w:r>
      <w:r>
        <w:rPr>
          <w:spacing w:val="-1"/>
        </w:rPr>
        <w:t xml:space="preserve"> </w:t>
      </w:r>
      <w:r>
        <w:t>peligro.</w:t>
      </w:r>
    </w:p>
    <w:p w14:paraId="07B12C68" w14:textId="77777777" w:rsidR="00C01A24" w:rsidRDefault="00C01A24">
      <w:pPr>
        <w:sectPr w:rsidR="00C01A24">
          <w:pgSz w:w="11900" w:h="16840"/>
          <w:pgMar w:top="3360" w:right="1300" w:bottom="280" w:left="1300" w:header="698" w:footer="0" w:gutter="0"/>
          <w:cols w:space="720"/>
        </w:sectPr>
      </w:pPr>
    </w:p>
    <w:p w14:paraId="33014C74" w14:textId="77777777" w:rsidR="00C01A24" w:rsidRDefault="00C01A24">
      <w:pPr>
        <w:pStyle w:val="Textoindependiente"/>
        <w:rPr>
          <w:sz w:val="20"/>
        </w:rPr>
      </w:pPr>
    </w:p>
    <w:p w14:paraId="53DEBA3B" w14:textId="77777777" w:rsidR="00C01A24" w:rsidRDefault="00C01A24">
      <w:pPr>
        <w:pStyle w:val="Textoindependiente"/>
        <w:spacing w:before="1"/>
        <w:rPr>
          <w:sz w:val="23"/>
        </w:rPr>
      </w:pPr>
    </w:p>
    <w:p w14:paraId="229B5D33" w14:textId="77777777" w:rsidR="00C01A24" w:rsidRDefault="00000000">
      <w:pPr>
        <w:ind w:left="118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SANCIONES.</w:t>
      </w:r>
    </w:p>
    <w:p w14:paraId="3D53395B" w14:textId="77777777" w:rsidR="00C01A24" w:rsidRDefault="00C01A24">
      <w:pPr>
        <w:pStyle w:val="Textoindependiente"/>
        <w:rPr>
          <w:b/>
        </w:rPr>
      </w:pPr>
    </w:p>
    <w:p w14:paraId="3CCC2B01" w14:textId="77777777" w:rsidR="00C01A24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7F9AA21F" w14:textId="77777777" w:rsidR="00C01A24" w:rsidRDefault="00C01A24">
      <w:pPr>
        <w:pStyle w:val="Textoindependiente"/>
        <w:spacing w:before="7"/>
        <w:rPr>
          <w:b/>
          <w:sz w:val="23"/>
        </w:rPr>
      </w:pPr>
    </w:p>
    <w:p w14:paraId="6A4A7A84" w14:textId="77777777" w:rsidR="00C01A24" w:rsidRDefault="00000000">
      <w:pPr>
        <w:pStyle w:val="Textoindependiente"/>
        <w:ind w:left="118" w:right="108" w:firstLine="60"/>
        <w:jc w:val="both"/>
      </w:pPr>
      <w:r>
        <w:t>En lo relativo a la calificación de las infracciones tributarias, así como de las sanciones que</w:t>
      </w:r>
      <w:r>
        <w:rPr>
          <w:spacing w:val="1"/>
        </w:rPr>
        <w:t xml:space="preserve"> </w:t>
      </w:r>
      <w:r>
        <w:t>correspondan en cada caso, se estará a lo dispuesto en los artículos 77 y siguientes de la 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Tributaria,</w:t>
      </w:r>
      <w:r>
        <w:rPr>
          <w:spacing w:val="1"/>
        </w:rPr>
        <w:t xml:space="preserve"> </w:t>
      </w:r>
      <w:r>
        <w:t>conforme se ordena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Ley 39/1.988,</w:t>
      </w:r>
      <w:r>
        <w:rPr>
          <w:spacing w:val="1"/>
        </w:rPr>
        <w:t xml:space="preserve"> </w:t>
      </w:r>
      <w:r>
        <w:t>de 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-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Haciendas</w:t>
      </w:r>
      <w:r>
        <w:rPr>
          <w:spacing w:val="2"/>
        </w:rPr>
        <w:t xml:space="preserve"> </w:t>
      </w:r>
      <w:r>
        <w:t>Locales.</w:t>
      </w:r>
    </w:p>
    <w:p w14:paraId="464B1283" w14:textId="77777777" w:rsidR="00C01A24" w:rsidRDefault="00C01A24">
      <w:pPr>
        <w:pStyle w:val="Textoindependiente"/>
        <w:spacing w:before="5"/>
      </w:pPr>
    </w:p>
    <w:p w14:paraId="49120F65" w14:textId="77777777" w:rsidR="00C01A24" w:rsidRDefault="00000000">
      <w:pPr>
        <w:ind w:left="118"/>
        <w:rPr>
          <w:b/>
          <w:sz w:val="24"/>
        </w:rPr>
      </w:pPr>
      <w:r>
        <w:rPr>
          <w:b/>
          <w:sz w:val="24"/>
        </w:rPr>
        <w:t>PARTIDAS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FALLIDAS.</w:t>
      </w:r>
    </w:p>
    <w:p w14:paraId="54E56D6E" w14:textId="77777777" w:rsidR="00C01A24" w:rsidRDefault="00C01A24">
      <w:pPr>
        <w:pStyle w:val="Textoindependiente"/>
        <w:rPr>
          <w:b/>
        </w:rPr>
      </w:pPr>
    </w:p>
    <w:p w14:paraId="00A409B4" w14:textId="77777777" w:rsidR="00C01A24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3014F1B8" w14:textId="77777777" w:rsidR="00C01A24" w:rsidRDefault="00C01A24">
      <w:pPr>
        <w:pStyle w:val="Textoindependiente"/>
        <w:spacing w:before="7"/>
        <w:rPr>
          <w:b/>
          <w:sz w:val="23"/>
        </w:rPr>
      </w:pPr>
    </w:p>
    <w:p w14:paraId="2E89E395" w14:textId="77777777" w:rsidR="00C01A24" w:rsidRDefault="00000000">
      <w:pPr>
        <w:pStyle w:val="Textoindependiente"/>
        <w:ind w:left="118" w:right="108"/>
        <w:jc w:val="both"/>
      </w:pPr>
      <w:r>
        <w:t>Se considerarán partidas fallidas o créditos incobrables, aquellas cuotas que no hayan podido</w:t>
      </w:r>
      <w:r>
        <w:rPr>
          <w:spacing w:val="1"/>
        </w:rPr>
        <w:t xml:space="preserve"> </w:t>
      </w:r>
      <w:r>
        <w:t>hacerse efectivas por el procedimiento de apremio, para cuya declaración se formalizará el</w:t>
      </w:r>
      <w:r>
        <w:rPr>
          <w:spacing w:val="1"/>
        </w:rPr>
        <w:t xml:space="preserve"> </w:t>
      </w:r>
      <w:r>
        <w:t>oportuno expediente, de acuerdo con lo prevenido en el vigente Reglamento General de</w:t>
      </w:r>
      <w:r>
        <w:rPr>
          <w:spacing w:val="1"/>
        </w:rPr>
        <w:t xml:space="preserve"> </w:t>
      </w:r>
      <w:r>
        <w:t>Recaudación.</w:t>
      </w:r>
    </w:p>
    <w:p w14:paraId="7AEC91E5" w14:textId="77777777" w:rsidR="00C01A24" w:rsidRDefault="00C01A24">
      <w:pPr>
        <w:pStyle w:val="Textoindependiente"/>
        <w:spacing w:before="5"/>
      </w:pPr>
    </w:p>
    <w:p w14:paraId="60A600AD" w14:textId="77777777" w:rsidR="00C01A24" w:rsidRDefault="00000000">
      <w:pPr>
        <w:ind w:left="118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FINAL.</w:t>
      </w:r>
    </w:p>
    <w:p w14:paraId="5B74E674" w14:textId="77777777" w:rsidR="00C01A24" w:rsidRDefault="00C01A24">
      <w:pPr>
        <w:pStyle w:val="Textoindependiente"/>
        <w:spacing w:before="6"/>
        <w:rPr>
          <w:b/>
          <w:sz w:val="23"/>
        </w:rPr>
      </w:pPr>
    </w:p>
    <w:p w14:paraId="2EB9E8C7" w14:textId="77777777" w:rsidR="00C01A24" w:rsidRDefault="00000000">
      <w:pPr>
        <w:pStyle w:val="Textoindependiente"/>
        <w:ind w:left="118" w:right="109"/>
        <w:jc w:val="both"/>
      </w:pPr>
      <w:r>
        <w:t>La presente Ordenanza entrará en vigor el día de su publicación en el Boletín Oficial de la</w:t>
      </w:r>
      <w:r>
        <w:rPr>
          <w:spacing w:val="1"/>
        </w:rPr>
        <w:t xml:space="preserve"> </w:t>
      </w:r>
      <w:r>
        <w:t>Provincia y comenzará a aplicarse a partir del 1 de enero de 1990, hasta que se acuerde su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 derogación.</w:t>
      </w:r>
    </w:p>
    <w:p w14:paraId="2D23DEB4" w14:textId="77777777" w:rsidR="00C01A24" w:rsidRDefault="00000000">
      <w:pPr>
        <w:pStyle w:val="Textoindependiente"/>
        <w:spacing w:before="1"/>
        <w:ind w:left="118" w:right="110"/>
        <w:jc w:val="both"/>
      </w:pPr>
      <w:r>
        <w:t>La presente Ordenanza, que consta de siete artículos, fue aprobada por el Ayuntamiento Pleno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sesión ordinaria</w:t>
      </w:r>
      <w:r>
        <w:rPr>
          <w:spacing w:val="1"/>
        </w:rPr>
        <w:t xml:space="preserve"> </w:t>
      </w:r>
      <w:r>
        <w:t>celebrada</w:t>
      </w:r>
      <w:r>
        <w:rPr>
          <w:spacing w:val="-1"/>
        </w:rPr>
        <w:t xml:space="preserve"> </w:t>
      </w:r>
      <w:r>
        <w:t>el día</w:t>
      </w:r>
      <w:r>
        <w:rPr>
          <w:spacing w:val="-1"/>
        </w:rPr>
        <w:t xml:space="preserve"> </w:t>
      </w:r>
      <w:r>
        <w:t>22 de</w:t>
      </w:r>
      <w:r>
        <w:rPr>
          <w:spacing w:val="-2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1999.</w:t>
      </w:r>
    </w:p>
    <w:sectPr w:rsidR="00C01A24">
      <w:pgSz w:w="11900" w:h="16840"/>
      <w:pgMar w:top="336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CA37" w14:textId="77777777" w:rsidR="0067722D" w:rsidRDefault="0067722D">
      <w:r>
        <w:separator/>
      </w:r>
    </w:p>
  </w:endnote>
  <w:endnote w:type="continuationSeparator" w:id="0">
    <w:p w14:paraId="3A6B5BE0" w14:textId="77777777" w:rsidR="0067722D" w:rsidRDefault="006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9CFA" w14:textId="77777777" w:rsidR="0067722D" w:rsidRDefault="0067722D">
      <w:r>
        <w:separator/>
      </w:r>
    </w:p>
  </w:footnote>
  <w:footnote w:type="continuationSeparator" w:id="0">
    <w:p w14:paraId="400D942C" w14:textId="77777777" w:rsidR="0067722D" w:rsidRDefault="006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A67E" w14:textId="77777777" w:rsidR="00C01A2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E46CEF5" wp14:editId="6D7E4ABE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064EA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1pt;width:128.65pt;height:70.55pt;z-index:-251658240;mso-position-horizontal-relative:page;mso-position-vertical-relative:page" filled="f" stroked="f">
          <v:textbox inset="0,0,0,0">
            <w:txbxContent>
              <w:p w14:paraId="0A03A78C" w14:textId="77777777" w:rsidR="00C01A24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493F61A7" w14:textId="77777777" w:rsidR="00C01A24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1F921B90" w14:textId="77777777" w:rsidR="00C01A24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43381943" w14:textId="77777777" w:rsidR="00C01A24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5A2DF0C9" w14:textId="77777777" w:rsidR="00C01A24" w:rsidRDefault="00000000">
                <w:pPr>
                  <w:spacing w:before="1" w:line="242" w:lineRule="auto"/>
                  <w:ind w:left="687" w:right="684" w:hanging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C4D"/>
    <w:multiLevelType w:val="hybridMultilevel"/>
    <w:tmpl w:val="A60236F6"/>
    <w:lvl w:ilvl="0" w:tplc="F1280DD6">
      <w:start w:val="1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A7867F8">
      <w:numFmt w:val="bullet"/>
      <w:lvlText w:val="•"/>
      <w:lvlJc w:val="left"/>
      <w:pPr>
        <w:ind w:left="1758" w:hanging="240"/>
      </w:pPr>
      <w:rPr>
        <w:rFonts w:hint="default"/>
        <w:lang w:val="es-ES" w:eastAsia="en-US" w:bidi="ar-SA"/>
      </w:rPr>
    </w:lvl>
    <w:lvl w:ilvl="2" w:tplc="1318CD84">
      <w:numFmt w:val="bullet"/>
      <w:lvlText w:val="•"/>
      <w:lvlJc w:val="left"/>
      <w:pPr>
        <w:ind w:left="2596" w:hanging="240"/>
      </w:pPr>
      <w:rPr>
        <w:rFonts w:hint="default"/>
        <w:lang w:val="es-ES" w:eastAsia="en-US" w:bidi="ar-SA"/>
      </w:rPr>
    </w:lvl>
    <w:lvl w:ilvl="3" w:tplc="E9BA2B04">
      <w:numFmt w:val="bullet"/>
      <w:lvlText w:val="•"/>
      <w:lvlJc w:val="left"/>
      <w:pPr>
        <w:ind w:left="3434" w:hanging="240"/>
      </w:pPr>
      <w:rPr>
        <w:rFonts w:hint="default"/>
        <w:lang w:val="es-ES" w:eastAsia="en-US" w:bidi="ar-SA"/>
      </w:rPr>
    </w:lvl>
    <w:lvl w:ilvl="4" w:tplc="8F426860">
      <w:numFmt w:val="bullet"/>
      <w:lvlText w:val="•"/>
      <w:lvlJc w:val="left"/>
      <w:pPr>
        <w:ind w:left="4272" w:hanging="240"/>
      </w:pPr>
      <w:rPr>
        <w:rFonts w:hint="default"/>
        <w:lang w:val="es-ES" w:eastAsia="en-US" w:bidi="ar-SA"/>
      </w:rPr>
    </w:lvl>
    <w:lvl w:ilvl="5" w:tplc="8A9AD152">
      <w:numFmt w:val="bullet"/>
      <w:lvlText w:val="•"/>
      <w:lvlJc w:val="left"/>
      <w:pPr>
        <w:ind w:left="5110" w:hanging="240"/>
      </w:pPr>
      <w:rPr>
        <w:rFonts w:hint="default"/>
        <w:lang w:val="es-ES" w:eastAsia="en-US" w:bidi="ar-SA"/>
      </w:rPr>
    </w:lvl>
    <w:lvl w:ilvl="6" w:tplc="B8309CE0">
      <w:numFmt w:val="bullet"/>
      <w:lvlText w:val="•"/>
      <w:lvlJc w:val="left"/>
      <w:pPr>
        <w:ind w:left="5948" w:hanging="240"/>
      </w:pPr>
      <w:rPr>
        <w:rFonts w:hint="default"/>
        <w:lang w:val="es-ES" w:eastAsia="en-US" w:bidi="ar-SA"/>
      </w:rPr>
    </w:lvl>
    <w:lvl w:ilvl="7" w:tplc="B63ED9AE">
      <w:numFmt w:val="bullet"/>
      <w:lvlText w:val="•"/>
      <w:lvlJc w:val="left"/>
      <w:pPr>
        <w:ind w:left="6786" w:hanging="240"/>
      </w:pPr>
      <w:rPr>
        <w:rFonts w:hint="default"/>
        <w:lang w:val="es-ES" w:eastAsia="en-US" w:bidi="ar-SA"/>
      </w:rPr>
    </w:lvl>
    <w:lvl w:ilvl="8" w:tplc="78B64684">
      <w:numFmt w:val="bullet"/>
      <w:lvlText w:val="•"/>
      <w:lvlJc w:val="left"/>
      <w:pPr>
        <w:ind w:left="7624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2B33109D"/>
    <w:multiLevelType w:val="hybridMultilevel"/>
    <w:tmpl w:val="067AE182"/>
    <w:lvl w:ilvl="0" w:tplc="FA3095DC">
      <w:start w:val="1"/>
      <w:numFmt w:val="decimal"/>
      <w:lvlText w:val="%1."/>
      <w:lvlJc w:val="left"/>
      <w:pPr>
        <w:ind w:left="684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0D261D6">
      <w:numFmt w:val="bullet"/>
      <w:lvlText w:val="•"/>
      <w:lvlJc w:val="left"/>
      <w:pPr>
        <w:ind w:left="1542" w:hanging="267"/>
      </w:pPr>
      <w:rPr>
        <w:rFonts w:hint="default"/>
        <w:lang w:val="es-ES" w:eastAsia="en-US" w:bidi="ar-SA"/>
      </w:rPr>
    </w:lvl>
    <w:lvl w:ilvl="2" w:tplc="C1B02056">
      <w:numFmt w:val="bullet"/>
      <w:lvlText w:val="•"/>
      <w:lvlJc w:val="left"/>
      <w:pPr>
        <w:ind w:left="2404" w:hanging="267"/>
      </w:pPr>
      <w:rPr>
        <w:rFonts w:hint="default"/>
        <w:lang w:val="es-ES" w:eastAsia="en-US" w:bidi="ar-SA"/>
      </w:rPr>
    </w:lvl>
    <w:lvl w:ilvl="3" w:tplc="E79250A8">
      <w:numFmt w:val="bullet"/>
      <w:lvlText w:val="•"/>
      <w:lvlJc w:val="left"/>
      <w:pPr>
        <w:ind w:left="3266" w:hanging="267"/>
      </w:pPr>
      <w:rPr>
        <w:rFonts w:hint="default"/>
        <w:lang w:val="es-ES" w:eastAsia="en-US" w:bidi="ar-SA"/>
      </w:rPr>
    </w:lvl>
    <w:lvl w:ilvl="4" w:tplc="90766116">
      <w:numFmt w:val="bullet"/>
      <w:lvlText w:val="•"/>
      <w:lvlJc w:val="left"/>
      <w:pPr>
        <w:ind w:left="4128" w:hanging="267"/>
      </w:pPr>
      <w:rPr>
        <w:rFonts w:hint="default"/>
        <w:lang w:val="es-ES" w:eastAsia="en-US" w:bidi="ar-SA"/>
      </w:rPr>
    </w:lvl>
    <w:lvl w:ilvl="5" w:tplc="1DC2F13C">
      <w:numFmt w:val="bullet"/>
      <w:lvlText w:val="•"/>
      <w:lvlJc w:val="left"/>
      <w:pPr>
        <w:ind w:left="4990" w:hanging="267"/>
      </w:pPr>
      <w:rPr>
        <w:rFonts w:hint="default"/>
        <w:lang w:val="es-ES" w:eastAsia="en-US" w:bidi="ar-SA"/>
      </w:rPr>
    </w:lvl>
    <w:lvl w:ilvl="6" w:tplc="4854514E">
      <w:numFmt w:val="bullet"/>
      <w:lvlText w:val="•"/>
      <w:lvlJc w:val="left"/>
      <w:pPr>
        <w:ind w:left="5852" w:hanging="267"/>
      </w:pPr>
      <w:rPr>
        <w:rFonts w:hint="default"/>
        <w:lang w:val="es-ES" w:eastAsia="en-US" w:bidi="ar-SA"/>
      </w:rPr>
    </w:lvl>
    <w:lvl w:ilvl="7" w:tplc="986CDEBC">
      <w:numFmt w:val="bullet"/>
      <w:lvlText w:val="•"/>
      <w:lvlJc w:val="left"/>
      <w:pPr>
        <w:ind w:left="6714" w:hanging="267"/>
      </w:pPr>
      <w:rPr>
        <w:rFonts w:hint="default"/>
        <w:lang w:val="es-ES" w:eastAsia="en-US" w:bidi="ar-SA"/>
      </w:rPr>
    </w:lvl>
    <w:lvl w:ilvl="8" w:tplc="669A9FEA">
      <w:numFmt w:val="bullet"/>
      <w:lvlText w:val="•"/>
      <w:lvlJc w:val="left"/>
      <w:pPr>
        <w:ind w:left="7576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51EA4F68"/>
    <w:multiLevelType w:val="hybridMultilevel"/>
    <w:tmpl w:val="35D6A494"/>
    <w:lvl w:ilvl="0" w:tplc="74C0814A">
      <w:start w:val="1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4581516">
      <w:numFmt w:val="bullet"/>
      <w:lvlText w:val="•"/>
      <w:lvlJc w:val="left"/>
      <w:pPr>
        <w:ind w:left="1758" w:hanging="240"/>
      </w:pPr>
      <w:rPr>
        <w:rFonts w:hint="default"/>
        <w:lang w:val="es-ES" w:eastAsia="en-US" w:bidi="ar-SA"/>
      </w:rPr>
    </w:lvl>
    <w:lvl w:ilvl="2" w:tplc="49DC0AE4">
      <w:numFmt w:val="bullet"/>
      <w:lvlText w:val="•"/>
      <w:lvlJc w:val="left"/>
      <w:pPr>
        <w:ind w:left="2596" w:hanging="240"/>
      </w:pPr>
      <w:rPr>
        <w:rFonts w:hint="default"/>
        <w:lang w:val="es-ES" w:eastAsia="en-US" w:bidi="ar-SA"/>
      </w:rPr>
    </w:lvl>
    <w:lvl w:ilvl="3" w:tplc="0C5432C0">
      <w:numFmt w:val="bullet"/>
      <w:lvlText w:val="•"/>
      <w:lvlJc w:val="left"/>
      <w:pPr>
        <w:ind w:left="3434" w:hanging="240"/>
      </w:pPr>
      <w:rPr>
        <w:rFonts w:hint="default"/>
        <w:lang w:val="es-ES" w:eastAsia="en-US" w:bidi="ar-SA"/>
      </w:rPr>
    </w:lvl>
    <w:lvl w:ilvl="4" w:tplc="56C2B830">
      <w:numFmt w:val="bullet"/>
      <w:lvlText w:val="•"/>
      <w:lvlJc w:val="left"/>
      <w:pPr>
        <w:ind w:left="4272" w:hanging="240"/>
      </w:pPr>
      <w:rPr>
        <w:rFonts w:hint="default"/>
        <w:lang w:val="es-ES" w:eastAsia="en-US" w:bidi="ar-SA"/>
      </w:rPr>
    </w:lvl>
    <w:lvl w:ilvl="5" w:tplc="971462B4">
      <w:numFmt w:val="bullet"/>
      <w:lvlText w:val="•"/>
      <w:lvlJc w:val="left"/>
      <w:pPr>
        <w:ind w:left="5110" w:hanging="240"/>
      </w:pPr>
      <w:rPr>
        <w:rFonts w:hint="default"/>
        <w:lang w:val="es-ES" w:eastAsia="en-US" w:bidi="ar-SA"/>
      </w:rPr>
    </w:lvl>
    <w:lvl w:ilvl="6" w:tplc="1E807F38">
      <w:numFmt w:val="bullet"/>
      <w:lvlText w:val="•"/>
      <w:lvlJc w:val="left"/>
      <w:pPr>
        <w:ind w:left="5948" w:hanging="240"/>
      </w:pPr>
      <w:rPr>
        <w:rFonts w:hint="default"/>
        <w:lang w:val="es-ES" w:eastAsia="en-US" w:bidi="ar-SA"/>
      </w:rPr>
    </w:lvl>
    <w:lvl w:ilvl="7" w:tplc="F6E8DDFE">
      <w:numFmt w:val="bullet"/>
      <w:lvlText w:val="•"/>
      <w:lvlJc w:val="left"/>
      <w:pPr>
        <w:ind w:left="6786" w:hanging="240"/>
      </w:pPr>
      <w:rPr>
        <w:rFonts w:hint="default"/>
        <w:lang w:val="es-ES" w:eastAsia="en-US" w:bidi="ar-SA"/>
      </w:rPr>
    </w:lvl>
    <w:lvl w:ilvl="8" w:tplc="054223CC">
      <w:numFmt w:val="bullet"/>
      <w:lvlText w:val="•"/>
      <w:lvlJc w:val="left"/>
      <w:pPr>
        <w:ind w:left="7624" w:hanging="240"/>
      </w:pPr>
      <w:rPr>
        <w:rFonts w:hint="default"/>
        <w:lang w:val="es-ES" w:eastAsia="en-US" w:bidi="ar-SA"/>
      </w:rPr>
    </w:lvl>
  </w:abstractNum>
  <w:num w:numId="1" w16cid:durableId="29186130">
    <w:abstractNumId w:val="1"/>
  </w:num>
  <w:num w:numId="2" w16cid:durableId="1870416087">
    <w:abstractNumId w:val="0"/>
  </w:num>
  <w:num w:numId="3" w16cid:durableId="81710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A24"/>
    <w:rsid w:val="00164BEC"/>
    <w:rsid w:val="0067722D"/>
    <w:rsid w:val="00C0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05EC"/>
  <w15:docId w15:val="{10E749A2-BBBF-42AC-9EE4-38ACA4CF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18" w:right="107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84" w:hanging="24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3.- Ordenanza Fiscal Reguladora de las tasas por prestación del servicio de prevención y extinción de inc</dc:title>
  <dc:creator>SMorales</dc:creator>
  <cp:lastModifiedBy>Elsa Maria Ramón Perdomo</cp:lastModifiedBy>
  <cp:revision>2</cp:revision>
  <dcterms:created xsi:type="dcterms:W3CDTF">2022-10-26T10:51:00Z</dcterms:created>
  <dcterms:modified xsi:type="dcterms:W3CDTF">2022-10-26T10:51:00Z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2022-10-26T00:00:00Z</vt:filetime>
  </property>
</Properties>
</file>