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EAB4" w14:textId="77777777" w:rsidR="00056629" w:rsidRDefault="00000000">
      <w:pPr>
        <w:pStyle w:val="Textoindependiente"/>
        <w:ind w:left="9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B2EE309" wp14:editId="20C875D0">
            <wp:extent cx="509133" cy="789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33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CBD7B" w14:textId="77777777" w:rsidR="00056629" w:rsidRDefault="00000000">
      <w:pPr>
        <w:pStyle w:val="Ttulo1"/>
        <w:spacing w:before="50"/>
        <w:ind w:left="133" w:right="6678"/>
        <w:jc w:val="center"/>
      </w:pP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TÍAS</w:t>
      </w:r>
    </w:p>
    <w:p w14:paraId="023DD31B" w14:textId="77777777" w:rsidR="00056629" w:rsidRDefault="00000000">
      <w:pPr>
        <w:pStyle w:val="Textoindependiente"/>
        <w:ind w:left="133" w:right="6678"/>
        <w:jc w:val="center"/>
      </w:pPr>
      <w:r>
        <w:t>C/</w:t>
      </w:r>
      <w:r>
        <w:rPr>
          <w:spacing w:val="-3"/>
        </w:rPr>
        <w:t xml:space="preserve"> </w:t>
      </w:r>
      <w:r>
        <w:t>Libertad,</w:t>
      </w:r>
      <w:r>
        <w:rPr>
          <w:spacing w:val="-3"/>
        </w:rPr>
        <w:t xml:space="preserve"> </w:t>
      </w:r>
      <w:r>
        <w:t>50</w:t>
      </w:r>
    </w:p>
    <w:p w14:paraId="18D867DC" w14:textId="77777777" w:rsidR="00056629" w:rsidRDefault="00000000">
      <w:pPr>
        <w:pStyle w:val="Textoindependiente"/>
        <w:spacing w:before="1"/>
        <w:ind w:left="133" w:right="6676"/>
        <w:jc w:val="center"/>
      </w:pPr>
      <w:r>
        <w:t>Teléfono</w:t>
      </w:r>
      <w:r>
        <w:rPr>
          <w:spacing w:val="49"/>
        </w:rPr>
        <w:t xml:space="preserve"> </w:t>
      </w:r>
      <w:r>
        <w:t>928833619</w:t>
      </w:r>
    </w:p>
    <w:p w14:paraId="41152D7A" w14:textId="77777777" w:rsidR="00056629" w:rsidRDefault="00000000">
      <w:pPr>
        <w:pStyle w:val="Textoindependiente"/>
        <w:spacing w:line="229" w:lineRule="exact"/>
        <w:ind w:left="133" w:right="6678"/>
        <w:jc w:val="center"/>
      </w:pPr>
      <w:r>
        <w:t>Fax</w:t>
      </w:r>
      <w:r>
        <w:rPr>
          <w:spacing w:val="-5"/>
        </w:rPr>
        <w:t xml:space="preserve"> </w:t>
      </w:r>
      <w:r>
        <w:t>928833549</w:t>
      </w:r>
    </w:p>
    <w:p w14:paraId="647E87E5" w14:textId="77777777" w:rsidR="00056629" w:rsidRDefault="00000000">
      <w:pPr>
        <w:pStyle w:val="Textoindependiente"/>
        <w:ind w:left="766" w:right="7309"/>
        <w:jc w:val="center"/>
      </w:pPr>
      <w:r>
        <w:t>35572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TIAS</w:t>
      </w:r>
      <w:r>
        <w:rPr>
          <w:spacing w:val="-53"/>
        </w:rPr>
        <w:t xml:space="preserve"> </w:t>
      </w:r>
      <w:r>
        <w:t>LANZAROTE</w:t>
      </w:r>
    </w:p>
    <w:p w14:paraId="65304F94" w14:textId="77777777" w:rsidR="00056629" w:rsidRDefault="00056629">
      <w:pPr>
        <w:pStyle w:val="Textoindependiente"/>
      </w:pPr>
    </w:p>
    <w:p w14:paraId="0969D67B" w14:textId="77777777" w:rsidR="00056629" w:rsidRDefault="00056629">
      <w:pPr>
        <w:pStyle w:val="Textoindependiente"/>
        <w:spacing w:before="1"/>
        <w:rPr>
          <w:sz w:val="21"/>
        </w:rPr>
      </w:pPr>
    </w:p>
    <w:p w14:paraId="3C55EDDF" w14:textId="77777777" w:rsidR="00056629" w:rsidRDefault="00000000">
      <w:pPr>
        <w:ind w:left="133" w:right="13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CONSULTA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PÚBLICA</w:t>
      </w:r>
      <w:r>
        <w:rPr>
          <w:rFonts w:ascii="Arial" w:hAnsi="Arial"/>
          <w:b/>
          <w:spacing w:val="-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PREVIA</w:t>
      </w:r>
    </w:p>
    <w:p w14:paraId="47935EE6" w14:textId="77777777" w:rsidR="00056629" w:rsidRDefault="00056629">
      <w:pPr>
        <w:pStyle w:val="Textoindependiente"/>
        <w:spacing w:before="3"/>
        <w:rPr>
          <w:rFonts w:ascii="Arial"/>
          <w:b/>
          <w:sz w:val="14"/>
        </w:rPr>
      </w:pPr>
    </w:p>
    <w:p w14:paraId="7BAC840E" w14:textId="77777777" w:rsidR="00056629" w:rsidRDefault="00000000">
      <w:pPr>
        <w:pStyle w:val="Textoindependiente"/>
        <w:spacing w:before="67"/>
        <w:ind w:left="118" w:right="109"/>
        <w:jc w:val="both"/>
        <w:rPr>
          <w:rFonts w:ascii="Arial" w:hAnsi="Arial"/>
          <w:b/>
        </w:rPr>
      </w:pPr>
      <w:r>
        <w:t>En el marco de lo dispuesto en el artículo 133 de la Ley 39/2015, de 1 de octubre, del Procedimiento</w:t>
      </w:r>
      <w:r>
        <w:rPr>
          <w:spacing w:val="1"/>
        </w:rPr>
        <w:t xml:space="preserve"> </w:t>
      </w:r>
      <w:r>
        <w:t>Administrativo Común de las Administraciones Públicas, la Alcaldía del Ayuntamiento de Tías practica</w:t>
      </w:r>
      <w:r>
        <w:rPr>
          <w:spacing w:val="-53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“LA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ORDENANZA FISCAL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REGULADORA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TASA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PRESTACIÓN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</w:p>
    <w:p w14:paraId="2452F982" w14:textId="77777777" w:rsidR="00056629" w:rsidRDefault="00000000">
      <w:pPr>
        <w:ind w:left="118"/>
        <w:rPr>
          <w:sz w:val="20"/>
        </w:rPr>
      </w:pPr>
      <w:r>
        <w:rPr>
          <w:rFonts w:ascii="Arial" w:hAnsi="Arial"/>
          <w:b/>
          <w:sz w:val="20"/>
        </w:rPr>
        <w:t>SERVICIOS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RECOGIDA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RESIDUOS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SÓLIDOS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URBANOS</w:t>
      </w:r>
      <w:r>
        <w:rPr>
          <w:rFonts w:ascii="Arial" w:hAnsi="Arial"/>
          <w:b/>
          <w:i/>
          <w:sz w:val="20"/>
        </w:rPr>
        <w:t>”</w:t>
      </w:r>
      <w:r>
        <w:rPr>
          <w:rFonts w:ascii="Arial" w:hAnsi="Arial"/>
          <w:b/>
          <w:i/>
          <w:spacing w:val="41"/>
          <w:sz w:val="20"/>
        </w:rPr>
        <w:t xml:space="preserve"> </w:t>
      </w:r>
      <w:r>
        <w:rPr>
          <w:sz w:val="20"/>
        </w:rPr>
        <w:t>con</w:t>
      </w:r>
      <w:r>
        <w:rPr>
          <w:spacing w:val="39"/>
          <w:sz w:val="20"/>
        </w:rPr>
        <w:t xml:space="preserve"> </w:t>
      </w:r>
      <w:r>
        <w:rPr>
          <w:sz w:val="20"/>
        </w:rPr>
        <w:t>arreglo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los</w:t>
      </w:r>
      <w:r>
        <w:rPr>
          <w:spacing w:val="4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52"/>
          <w:sz w:val="20"/>
        </w:rPr>
        <w:t xml:space="preserve"> </w:t>
      </w:r>
      <w:r>
        <w:rPr>
          <w:sz w:val="20"/>
        </w:rPr>
        <w:t>aspectos:</w:t>
      </w:r>
    </w:p>
    <w:p w14:paraId="1E3AC3C6" w14:textId="77777777" w:rsidR="00056629" w:rsidRDefault="00056629">
      <w:pPr>
        <w:pStyle w:val="Textoindependiente"/>
      </w:pPr>
    </w:p>
    <w:p w14:paraId="4F754AB6" w14:textId="77777777" w:rsidR="00056629" w:rsidRDefault="00056629">
      <w:pPr>
        <w:pStyle w:val="Textoindependiente"/>
        <w:spacing w:before="5"/>
        <w:rPr>
          <w:sz w:val="24"/>
        </w:rPr>
      </w:pPr>
    </w:p>
    <w:p w14:paraId="61C00267" w14:textId="77777777" w:rsidR="00056629" w:rsidRDefault="00000000">
      <w:pPr>
        <w:pStyle w:val="Ttulo1"/>
      </w:pPr>
      <w:r>
        <w:t>I.-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Problemas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pretenden</w:t>
      </w:r>
      <w:r>
        <w:rPr>
          <w:spacing w:val="-3"/>
        </w:rPr>
        <w:t xml:space="preserve"> </w:t>
      </w:r>
      <w:r>
        <w:t>solucionar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iniciativa.</w:t>
      </w:r>
    </w:p>
    <w:p w14:paraId="1E2924E7" w14:textId="77777777" w:rsidR="00056629" w:rsidRDefault="00056629">
      <w:pPr>
        <w:pStyle w:val="Textoindependiente"/>
        <w:spacing w:before="3"/>
        <w:rPr>
          <w:rFonts w:ascii="Arial"/>
          <w:b/>
          <w:sz w:val="24"/>
        </w:rPr>
      </w:pPr>
    </w:p>
    <w:p w14:paraId="2B797295" w14:textId="77777777" w:rsidR="00056629" w:rsidRDefault="00000000">
      <w:pPr>
        <w:pStyle w:val="Textoindependiente"/>
        <w:ind w:left="118" w:right="109"/>
        <w:jc w:val="both"/>
      </w:pPr>
      <w:r>
        <w:t>Resulta necesario revisar la regulación de las actuaciones bonificadas, así como la revisión del</w:t>
      </w:r>
      <w:r>
        <w:rPr>
          <w:spacing w:val="1"/>
        </w:rPr>
        <w:t xml:space="preserve"> </w:t>
      </w:r>
      <w:r>
        <w:t xml:space="preserve">epígrafe de las tarifas aplicables en industrias para ajustarlo al tipo de actividad que desarrollan </w:t>
      </w:r>
      <w:proofErr w:type="gramStart"/>
      <w:r>
        <w:t>la</w:t>
      </w:r>
      <w:r>
        <w:rPr>
          <w:spacing w:val="1"/>
        </w:rPr>
        <w:t xml:space="preserve"> </w:t>
      </w:r>
      <w:r>
        <w:t>empresas</w:t>
      </w:r>
      <w:proofErr w:type="gramEnd"/>
      <w:r>
        <w:t>.</w:t>
      </w:r>
    </w:p>
    <w:p w14:paraId="6D2D8E99" w14:textId="77777777" w:rsidR="00056629" w:rsidRDefault="00056629">
      <w:pPr>
        <w:pStyle w:val="Textoindependiente"/>
        <w:spacing w:before="4"/>
        <w:rPr>
          <w:sz w:val="24"/>
        </w:rPr>
      </w:pPr>
    </w:p>
    <w:p w14:paraId="07C486EF" w14:textId="77777777" w:rsidR="00056629" w:rsidRDefault="00000000">
      <w:pPr>
        <w:pStyle w:val="Ttulo1"/>
      </w:pPr>
      <w:r>
        <w:t>II.-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oportunidad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aprobación.</w:t>
      </w:r>
    </w:p>
    <w:p w14:paraId="19794256" w14:textId="77777777" w:rsidR="00056629" w:rsidRDefault="00056629">
      <w:pPr>
        <w:pStyle w:val="Textoindependiente"/>
        <w:spacing w:before="3"/>
        <w:rPr>
          <w:rFonts w:ascii="Arial"/>
          <w:b/>
          <w:sz w:val="24"/>
        </w:rPr>
      </w:pPr>
    </w:p>
    <w:p w14:paraId="5BF2A9F8" w14:textId="77777777" w:rsidR="00056629" w:rsidRDefault="00000000">
      <w:pPr>
        <w:pStyle w:val="Textoindependiente"/>
        <w:ind w:left="118" w:right="111"/>
        <w:jc w:val="both"/>
      </w:pPr>
      <w:r>
        <w:t>Su modificación responde a la necesidad y oportunidad de asegurar su ejercicio de acuerdo con los</w:t>
      </w:r>
      <w:r>
        <w:rPr>
          <w:spacing w:val="1"/>
        </w:rPr>
        <w:t xml:space="preserve"> </w:t>
      </w:r>
      <w:r>
        <w:t>principios de buena regulación y garantizar de modo adecuado la audiencia y participación de los</w:t>
      </w:r>
      <w:r>
        <w:rPr>
          <w:spacing w:val="1"/>
        </w:rPr>
        <w:t xml:space="preserve"> </w:t>
      </w:r>
      <w:r>
        <w:t>ciudadanos.</w:t>
      </w:r>
    </w:p>
    <w:p w14:paraId="076F68F0" w14:textId="77777777" w:rsidR="00056629" w:rsidRDefault="00056629">
      <w:pPr>
        <w:pStyle w:val="Textoindependiente"/>
        <w:spacing w:before="6"/>
        <w:rPr>
          <w:sz w:val="24"/>
        </w:rPr>
      </w:pPr>
    </w:p>
    <w:p w14:paraId="58196A7F" w14:textId="77777777" w:rsidR="00056629" w:rsidRDefault="00000000">
      <w:pPr>
        <w:pStyle w:val="Ttulo1"/>
      </w:pPr>
      <w:r>
        <w:t>III.-Objetivos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norma.</w:t>
      </w:r>
    </w:p>
    <w:p w14:paraId="62176386" w14:textId="77777777" w:rsidR="00056629" w:rsidRDefault="00056629">
      <w:pPr>
        <w:pStyle w:val="Textoindependiente"/>
        <w:spacing w:before="2"/>
        <w:rPr>
          <w:rFonts w:ascii="Arial"/>
          <w:b/>
          <w:sz w:val="24"/>
        </w:rPr>
      </w:pPr>
    </w:p>
    <w:p w14:paraId="36520045" w14:textId="77777777" w:rsidR="00056629" w:rsidRDefault="00000000">
      <w:pPr>
        <w:pStyle w:val="Textoindependiente"/>
        <w:spacing w:before="1"/>
        <w:ind w:left="118" w:right="109"/>
        <w:jc w:val="both"/>
      </w:pPr>
      <w:r>
        <w:t>Se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sustantivos regulados para la bonificación de la cuota en el caso de basura domiciliaria, así como</w:t>
      </w:r>
      <w:r>
        <w:rPr>
          <w:spacing w:val="1"/>
        </w:rPr>
        <w:t xml:space="preserve"> </w:t>
      </w:r>
      <w:r>
        <w:t>revisar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epígrafes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Anexo I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adaptarlos</w:t>
      </w:r>
      <w:r>
        <w:rPr>
          <w:spacing w:val="1"/>
        </w:rPr>
        <w:t xml:space="preserve"> </w:t>
      </w:r>
      <w:r>
        <w:t>a la realidad</w:t>
      </w:r>
      <w:r>
        <w:rPr>
          <w:spacing w:val="1"/>
        </w:rPr>
        <w:t xml:space="preserve"> </w:t>
      </w:r>
      <w:r>
        <w:t>de la actividad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desarrollan las</w:t>
      </w:r>
      <w:r>
        <w:rPr>
          <w:spacing w:val="3"/>
        </w:rPr>
        <w:t xml:space="preserve"> </w:t>
      </w:r>
      <w:r>
        <w:t>industrias.</w:t>
      </w:r>
    </w:p>
    <w:p w14:paraId="02E122D3" w14:textId="77777777" w:rsidR="00056629" w:rsidRDefault="00056629">
      <w:pPr>
        <w:pStyle w:val="Textoindependiente"/>
        <w:spacing w:before="4"/>
        <w:rPr>
          <w:sz w:val="24"/>
        </w:rPr>
      </w:pPr>
    </w:p>
    <w:p w14:paraId="12019E45" w14:textId="77777777" w:rsidR="00056629" w:rsidRDefault="00000000">
      <w:pPr>
        <w:pStyle w:val="Ttulo1"/>
      </w:pPr>
      <w:r>
        <w:t>IV.-Posibles</w:t>
      </w:r>
      <w:r>
        <w:rPr>
          <w:spacing w:val="-6"/>
        </w:rPr>
        <w:t xml:space="preserve"> </w:t>
      </w:r>
      <w:r>
        <w:t>soluciones</w:t>
      </w:r>
      <w:r>
        <w:rPr>
          <w:spacing w:val="-8"/>
        </w:rPr>
        <w:t xml:space="preserve"> </w:t>
      </w:r>
      <w:r>
        <w:t>alternativas,</w:t>
      </w:r>
      <w:r>
        <w:rPr>
          <w:spacing w:val="-5"/>
        </w:rPr>
        <w:t xml:space="preserve"> </w:t>
      </w:r>
      <w:r>
        <w:t>regulatorias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regulatorias.</w:t>
      </w:r>
    </w:p>
    <w:p w14:paraId="63217796" w14:textId="77777777" w:rsidR="00056629" w:rsidRDefault="00056629">
      <w:pPr>
        <w:pStyle w:val="Textoindependiente"/>
        <w:spacing w:before="2"/>
        <w:rPr>
          <w:rFonts w:ascii="Arial"/>
          <w:b/>
          <w:sz w:val="24"/>
        </w:rPr>
      </w:pPr>
    </w:p>
    <w:p w14:paraId="15F5A104" w14:textId="77777777" w:rsidR="00056629" w:rsidRDefault="00000000">
      <w:pPr>
        <w:pStyle w:val="Textoindependiente"/>
        <w:spacing w:before="1"/>
        <w:ind w:left="118" w:right="112"/>
        <w:jc w:val="both"/>
      </w:pPr>
      <w:r>
        <w:t>No existen cauces alternativos a la imposición de la Ordenanza, dado que la naturaleza de las tasas e</w:t>
      </w:r>
      <w:r>
        <w:rPr>
          <w:spacing w:val="-53"/>
        </w:rPr>
        <w:t xml:space="preserve"> </w:t>
      </w:r>
      <w:r>
        <w:t>impuestos</w:t>
      </w:r>
      <w:r>
        <w:rPr>
          <w:spacing w:val="11"/>
        </w:rPr>
        <w:t xml:space="preserve"> </w:t>
      </w:r>
      <w:r>
        <w:t>hace</w:t>
      </w:r>
      <w:r>
        <w:rPr>
          <w:spacing w:val="10"/>
        </w:rPr>
        <w:t xml:space="preserve"> </w:t>
      </w:r>
      <w:r>
        <w:t>exigible</w:t>
      </w:r>
      <w:r>
        <w:rPr>
          <w:spacing w:val="10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regulación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través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Ordenanza</w:t>
      </w:r>
      <w:r>
        <w:rPr>
          <w:spacing w:val="10"/>
        </w:rPr>
        <w:t xml:space="preserve"> </w:t>
      </w:r>
      <w:r>
        <w:t>fiscal,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acuerdo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dispuesto</w:t>
      </w:r>
      <w:r>
        <w:rPr>
          <w:spacing w:val="10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TRLRHL.</w:t>
      </w:r>
    </w:p>
    <w:sectPr w:rsidR="00056629">
      <w:type w:val="continuous"/>
      <w:pgSz w:w="11900" w:h="16840"/>
      <w:pgMar w:top="7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629"/>
    <w:rsid w:val="00056629"/>
    <w:rsid w:val="005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112E"/>
  <w15:docId w15:val="{64ECB4D6-0A61-412E-8BC0-93DFE298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consulta publica</dc:title>
  <dc:creator>egomez</dc:creator>
  <cp:lastModifiedBy>Elsa Maria Ramón Perdomo</cp:lastModifiedBy>
  <cp:revision>2</cp:revision>
  <dcterms:created xsi:type="dcterms:W3CDTF">2022-10-26T14:17:00Z</dcterms:created>
  <dcterms:modified xsi:type="dcterms:W3CDTF">2022-10-26T14:17:00Z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2022-10-26T00:00:00Z</vt:filetime>
  </property>
</Properties>
</file>